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4A924" w14:textId="0C95441A" w:rsidR="008D7F4E" w:rsidRPr="00074F31" w:rsidRDefault="00DF0B54" w:rsidP="008D7F4E">
      <w:pPr>
        <w:rPr>
          <w:lang w:val="es-DO"/>
        </w:rPr>
      </w:pPr>
      <w:bookmarkStart w:id="0" w:name="_Hlk216254290"/>
      <w:bookmarkEnd w:id="0"/>
      <w:r w:rsidRPr="00074F31">
        <w:rPr>
          <w:noProof/>
          <w:lang w:val="es-DO" w:eastAsia="es-DO"/>
        </w:rPr>
        <w:drawing>
          <wp:anchor distT="0" distB="0" distL="114300" distR="114300" simplePos="0" relativeHeight="251654144" behindDoc="0" locked="0" layoutInCell="1" allowOverlap="1" wp14:anchorId="3F0A51DA" wp14:editId="376263DC">
            <wp:simplePos x="0" y="0"/>
            <wp:positionH relativeFrom="column">
              <wp:posOffset>2376805</wp:posOffset>
            </wp:positionH>
            <wp:positionV relativeFrom="paragraph">
              <wp:posOffset>274955</wp:posOffset>
            </wp:positionV>
            <wp:extent cx="1280160" cy="120777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0160" cy="1207770"/>
                    </a:xfrm>
                    <a:prstGeom prst="rect">
                      <a:avLst/>
                    </a:prstGeom>
                  </pic:spPr>
                </pic:pic>
              </a:graphicData>
            </a:graphic>
            <wp14:sizeRelH relativeFrom="page">
              <wp14:pctWidth>0</wp14:pctWidth>
            </wp14:sizeRelH>
            <wp14:sizeRelV relativeFrom="page">
              <wp14:pctHeight>0</wp14:pctHeight>
            </wp14:sizeRelV>
          </wp:anchor>
        </w:drawing>
      </w:r>
      <w:r w:rsidR="00F2744E" w:rsidRPr="00074F31">
        <w:rPr>
          <w:lang w:val="es-DO"/>
        </w:rPr>
        <w:t xml:space="preserve"> </w:t>
      </w:r>
    </w:p>
    <w:p w14:paraId="24A9A258" w14:textId="3DC24FC8" w:rsidR="008D7F4E" w:rsidRPr="00074F31" w:rsidRDefault="008D7F4E" w:rsidP="008D7F4E">
      <w:pPr>
        <w:rPr>
          <w:lang w:val="es-DO"/>
        </w:rPr>
      </w:pPr>
    </w:p>
    <w:p w14:paraId="1AC5E2C3" w14:textId="77777777" w:rsidR="008D7F4E" w:rsidRPr="00074F31" w:rsidRDefault="008D7F4E" w:rsidP="008D7F4E">
      <w:pPr>
        <w:rPr>
          <w:lang w:val="es-DO"/>
        </w:rPr>
      </w:pPr>
    </w:p>
    <w:p w14:paraId="34990FAF" w14:textId="52B5DA41" w:rsidR="008D7F4E" w:rsidRPr="00074F31" w:rsidRDefault="008D7F4E" w:rsidP="008D7F4E">
      <w:pPr>
        <w:rPr>
          <w:lang w:val="es-DO"/>
        </w:rPr>
      </w:pPr>
      <w:bookmarkStart w:id="1" w:name="_Hlk86404256"/>
      <w:bookmarkEnd w:id="1"/>
    </w:p>
    <w:p w14:paraId="6EFB72EE" w14:textId="272B2AD6" w:rsidR="008D7F4E" w:rsidRPr="00074F31" w:rsidRDefault="008D7F4E" w:rsidP="008D7F4E">
      <w:pPr>
        <w:rPr>
          <w:lang w:val="es-DO"/>
        </w:rPr>
      </w:pPr>
    </w:p>
    <w:p w14:paraId="3F7503CE" w14:textId="172B5CFE" w:rsidR="008D7F4E" w:rsidRPr="00074F31" w:rsidRDefault="008D7F4E" w:rsidP="008D7F4E">
      <w:pPr>
        <w:rPr>
          <w:lang w:val="es-DO"/>
        </w:rPr>
      </w:pPr>
    </w:p>
    <w:p w14:paraId="071FCCAE" w14:textId="759B330B" w:rsidR="008D7F4E" w:rsidRPr="00074F31" w:rsidRDefault="00A63A00" w:rsidP="008D7F4E">
      <w:pPr>
        <w:rPr>
          <w:lang w:val="es-DO"/>
        </w:rPr>
      </w:pPr>
      <w:r w:rsidRPr="00074F31">
        <w:rPr>
          <w:noProof/>
          <w:lang w:val="es-DO" w:eastAsia="es-DO"/>
        </w:rPr>
        <mc:AlternateContent>
          <mc:Choice Requires="wps">
            <w:drawing>
              <wp:anchor distT="0" distB="0" distL="114300" distR="114300" simplePos="0" relativeHeight="251658240" behindDoc="0" locked="0" layoutInCell="1" allowOverlap="1" wp14:anchorId="49B1C421" wp14:editId="04261F62">
                <wp:simplePos x="0" y="0"/>
                <wp:positionH relativeFrom="column">
                  <wp:posOffset>2137410</wp:posOffset>
                </wp:positionH>
                <wp:positionV relativeFrom="paragraph">
                  <wp:posOffset>11681</wp:posOffset>
                </wp:positionV>
                <wp:extent cx="1884680" cy="177165"/>
                <wp:effectExtent l="0" t="0" r="0" b="0"/>
                <wp:wrapNone/>
                <wp:docPr id="6" name="object 6"/>
                <wp:cNvGraphicFramePr/>
                <a:graphic xmlns:a="http://schemas.openxmlformats.org/drawingml/2006/main">
                  <a:graphicData uri="http://schemas.microsoft.com/office/word/2010/wordprocessingShape">
                    <wps:wsp>
                      <wps:cNvSpPr txBox="1"/>
                      <wps:spPr>
                        <a:xfrm>
                          <a:off x="0" y="0"/>
                          <a:ext cx="1884680" cy="177165"/>
                        </a:xfrm>
                        <a:prstGeom prst="rect">
                          <a:avLst/>
                        </a:prstGeom>
                      </wps:spPr>
                      <wps:txbx>
                        <w:txbxContent>
                          <w:p w14:paraId="65FDDD46" w14:textId="77777777" w:rsidR="008D7F4E" w:rsidRPr="005C548C" w:rsidRDefault="008D7F4E" w:rsidP="008D7F4E">
                            <w:pPr>
                              <w:spacing w:before="20"/>
                              <w:ind w:left="14"/>
                              <w:rPr>
                                <w:b/>
                                <w:bCs/>
                                <w:color w:val="D0B787"/>
                                <w:spacing w:val="9"/>
                                <w:kern w:val="24"/>
                                <w:sz w:val="20"/>
                                <w:szCs w:val="20"/>
                              </w:rPr>
                            </w:pPr>
                            <w:r w:rsidRPr="005C548C">
                              <w:rPr>
                                <w:b/>
                                <w:bCs/>
                                <w:color w:val="D0B787"/>
                                <w:spacing w:val="9"/>
                                <w:kern w:val="24"/>
                                <w:sz w:val="20"/>
                                <w:szCs w:val="20"/>
                              </w:rPr>
                              <w:t>REPÚBLICA</w:t>
                            </w:r>
                            <w:r w:rsidRPr="005C548C">
                              <w:rPr>
                                <w:b/>
                                <w:bCs/>
                                <w:color w:val="D0B787"/>
                                <w:spacing w:val="11"/>
                                <w:kern w:val="24"/>
                                <w:sz w:val="20"/>
                                <w:szCs w:val="20"/>
                              </w:rPr>
                              <w:t xml:space="preserve"> DOMINICANA</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49B1C421" id="_x0000_t202" coordsize="21600,21600" o:spt="202" path="m,l,21600r21600,l21600,xe">
                <v:stroke joinstyle="miter"/>
                <v:path gradientshapeok="t" o:connecttype="rect"/>
              </v:shapetype>
              <v:shape id="object 6" o:spid="_x0000_s1026" type="#_x0000_t202" style="position:absolute;margin-left:168.3pt;margin-top:.9pt;width:148.4pt;height:13.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" filled="f" stroked="f">
                <v:textbox inset="0,1pt,0,0">
                  <w:txbxContent>
                    <w:p w14:paraId="65FDDD46" w14:textId="77777777" w:rsidR="008D7F4E" w:rsidRPr="005C548C" w:rsidRDefault="008D7F4E" w:rsidP="008D7F4E">
                      <w:pPr>
                        <w:spacing w:before="20"/>
                        <w:ind w:left="14"/>
                        <w:rPr>
                          <w:b/>
                          <w:bCs/>
                          <w:color w:val="D0B787"/>
                          <w:spacing w:val="9"/>
                          <w:kern w:val="24"/>
                          <w:sz w:val="20"/>
                          <w:szCs w:val="20"/>
                        </w:rPr>
                      </w:pPr>
                      <w:r w:rsidRPr="005C548C">
                        <w:rPr>
                          <w:b/>
                          <w:bCs/>
                          <w:color w:val="D0B787"/>
                          <w:spacing w:val="9"/>
                          <w:kern w:val="24"/>
                          <w:sz w:val="20"/>
                          <w:szCs w:val="20"/>
                        </w:rPr>
                        <w:t>REPÚBLICA</w:t>
                      </w:r>
                      <w:r w:rsidRPr="005C548C">
                        <w:rPr>
                          <w:b/>
                          <w:bCs/>
                          <w:color w:val="D0B787"/>
                          <w:spacing w:val="11"/>
                          <w:kern w:val="24"/>
                          <w:sz w:val="20"/>
                          <w:szCs w:val="20"/>
                        </w:rPr>
                        <w:t xml:space="preserve"> DOMINICANA</w:t>
                      </w:r>
                    </w:p>
                  </w:txbxContent>
                </v:textbox>
              </v:shape>
            </w:pict>
          </mc:Fallback>
        </mc:AlternateContent>
      </w:r>
    </w:p>
    <w:p w14:paraId="69FBF6B1" w14:textId="7ADAC71B" w:rsidR="008D7F4E" w:rsidRPr="00074F31" w:rsidRDefault="008D7F4E" w:rsidP="008D7F4E">
      <w:pPr>
        <w:rPr>
          <w:lang w:val="es-DO"/>
        </w:rPr>
      </w:pPr>
    </w:p>
    <w:p w14:paraId="0233C915" w14:textId="77777777" w:rsidR="008D7F4E" w:rsidRPr="00074F31" w:rsidRDefault="008D7F4E" w:rsidP="008D7F4E">
      <w:pPr>
        <w:rPr>
          <w:lang w:val="es-DO"/>
        </w:rPr>
      </w:pPr>
    </w:p>
    <w:p w14:paraId="274DCED8" w14:textId="2521D0D9" w:rsidR="004F2DD5" w:rsidRPr="00074F31" w:rsidRDefault="00C92BF6" w:rsidP="004F2DD5">
      <w:pPr>
        <w:rPr>
          <w:lang w:val="es-ES"/>
        </w:rPr>
      </w:pPr>
      <w:r w:rsidRPr="00074F31">
        <w:rPr>
          <w:noProof/>
          <w:lang w:val="es-DO" w:eastAsia="es-DO"/>
        </w:rPr>
        <mc:AlternateContent>
          <mc:Choice Requires="wps">
            <w:drawing>
              <wp:anchor distT="0" distB="0" distL="114300" distR="114300" simplePos="0" relativeHeight="251657216" behindDoc="0" locked="0" layoutInCell="1" allowOverlap="1" wp14:anchorId="6B2EB822" wp14:editId="41C70144">
                <wp:simplePos x="0" y="0"/>
                <wp:positionH relativeFrom="column">
                  <wp:posOffset>2448624</wp:posOffset>
                </wp:positionH>
                <wp:positionV relativeFrom="paragraph">
                  <wp:posOffset>2802890</wp:posOffset>
                </wp:positionV>
                <wp:extent cx="1210945" cy="308610"/>
                <wp:effectExtent l="0" t="0" r="0" b="0"/>
                <wp:wrapNone/>
                <wp:docPr id="5" name="object 5"/>
                <wp:cNvGraphicFramePr/>
                <a:graphic xmlns:a="http://schemas.openxmlformats.org/drawingml/2006/main">
                  <a:graphicData uri="http://schemas.microsoft.com/office/word/2010/wordprocessingShape">
                    <wps:wsp>
                      <wps:cNvSpPr txBox="1"/>
                      <wps:spPr>
                        <a:xfrm>
                          <a:off x="0" y="0"/>
                          <a:ext cx="1210945" cy="308610"/>
                        </a:xfrm>
                        <a:prstGeom prst="rect">
                          <a:avLst/>
                        </a:prstGeom>
                      </wps:spPr>
                      <wps:txbx>
                        <w:txbxContent>
                          <w:p w14:paraId="50ABDE0F" w14:textId="0B3D5557" w:rsidR="008D7F4E" w:rsidRPr="00F36012" w:rsidRDefault="008D7F4E" w:rsidP="008D7F4E">
                            <w:pPr>
                              <w:spacing w:before="20"/>
                              <w:ind w:left="14"/>
                              <w:rPr>
                                <w:b/>
                                <w:bCs/>
                                <w:color w:val="D5B788"/>
                                <w:spacing w:val="74"/>
                                <w:kern w:val="24"/>
                                <w:sz w:val="28"/>
                                <w:szCs w:val="28"/>
                              </w:rPr>
                            </w:pPr>
                            <w:r w:rsidRPr="00F36012">
                              <w:rPr>
                                <w:b/>
                                <w:bCs/>
                                <w:color w:val="D5B788"/>
                                <w:spacing w:val="74"/>
                                <w:kern w:val="24"/>
                                <w:sz w:val="28"/>
                                <w:szCs w:val="28"/>
                              </w:rPr>
                              <w:t>AÑ</w:t>
                            </w:r>
                            <w:r w:rsidRPr="00F36012">
                              <w:rPr>
                                <w:b/>
                                <w:bCs/>
                                <w:color w:val="D5B788"/>
                                <w:spacing w:val="37"/>
                                <w:kern w:val="24"/>
                                <w:sz w:val="28"/>
                                <w:szCs w:val="28"/>
                              </w:rPr>
                              <w:t>O</w:t>
                            </w:r>
                            <w:r w:rsidRPr="00F36012">
                              <w:rPr>
                                <w:b/>
                                <w:bCs/>
                                <w:color w:val="D5B788"/>
                                <w:spacing w:val="74"/>
                                <w:kern w:val="24"/>
                                <w:sz w:val="28"/>
                                <w:szCs w:val="28"/>
                              </w:rPr>
                              <w:t xml:space="preserve"> </w:t>
                            </w:r>
                            <w:r w:rsidRPr="00F36012">
                              <w:rPr>
                                <w:b/>
                                <w:bCs/>
                                <w:color w:val="D5B788"/>
                                <w:spacing w:val="68"/>
                                <w:kern w:val="24"/>
                                <w:sz w:val="28"/>
                                <w:szCs w:val="28"/>
                              </w:rPr>
                              <w:t>2</w:t>
                            </w:r>
                            <w:r w:rsidRPr="00F36012">
                              <w:rPr>
                                <w:b/>
                                <w:bCs/>
                                <w:color w:val="D5B788"/>
                                <w:spacing w:val="28"/>
                                <w:kern w:val="24"/>
                                <w:sz w:val="28"/>
                                <w:szCs w:val="28"/>
                              </w:rPr>
                              <w:t>0</w:t>
                            </w:r>
                            <w:r w:rsidRPr="00F36012">
                              <w:rPr>
                                <w:b/>
                                <w:bCs/>
                                <w:color w:val="D5B788"/>
                                <w:spacing w:val="-23"/>
                                <w:kern w:val="24"/>
                                <w:sz w:val="28"/>
                                <w:szCs w:val="28"/>
                              </w:rPr>
                              <w:t xml:space="preserve"> </w:t>
                            </w:r>
                            <w:r w:rsidRPr="00F36012">
                              <w:rPr>
                                <w:b/>
                                <w:bCs/>
                                <w:color w:val="D5B788"/>
                                <w:spacing w:val="68"/>
                                <w:kern w:val="24"/>
                                <w:sz w:val="28"/>
                                <w:szCs w:val="28"/>
                              </w:rPr>
                              <w:t>2</w:t>
                            </w:r>
                            <w:r w:rsidR="0051332F">
                              <w:rPr>
                                <w:b/>
                                <w:bCs/>
                                <w:color w:val="D5B788"/>
                                <w:spacing w:val="68"/>
                                <w:kern w:val="24"/>
                                <w:sz w:val="28"/>
                                <w:szCs w:val="28"/>
                              </w:rPr>
                              <w:t>5</w:t>
                            </w:r>
                            <w:r w:rsidRPr="00F36012">
                              <w:rPr>
                                <w:b/>
                                <w:bCs/>
                                <w:color w:val="D5B788"/>
                                <w:spacing w:val="-21"/>
                                <w:kern w:val="24"/>
                                <w:sz w:val="28"/>
                                <w:szCs w:val="28"/>
                              </w:rPr>
                              <w:t xml:space="preserve"> </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 w14:anchorId="6B2EB822" id="object 5" o:spid="_x0000_s1027" type="#_x0000_t202" style="position:absolute;margin-left:192.8pt;margin-top:220.7pt;width:95.35pt;height:24.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" filled="f" stroked="f">
                <v:textbox inset="0,1pt,0,0">
                  <w:txbxContent>
                    <w:p w14:paraId="50ABDE0F" w14:textId="0B3D5557" w:rsidR="008D7F4E" w:rsidRPr="00F36012" w:rsidRDefault="008D7F4E" w:rsidP="008D7F4E">
                      <w:pPr>
                        <w:spacing w:before="20"/>
                        <w:ind w:left="14"/>
                        <w:rPr>
                          <w:b/>
                          <w:bCs/>
                          <w:color w:val="D5B788"/>
                          <w:spacing w:val="74"/>
                          <w:kern w:val="24"/>
                          <w:sz w:val="28"/>
                          <w:szCs w:val="28"/>
                        </w:rPr>
                      </w:pPr>
                      <w:r w:rsidRPr="00F36012">
                        <w:rPr>
                          <w:b/>
                          <w:bCs/>
                          <w:color w:val="D5B788"/>
                          <w:spacing w:val="74"/>
                          <w:kern w:val="24"/>
                          <w:sz w:val="28"/>
                          <w:szCs w:val="28"/>
                        </w:rPr>
                        <w:t>AÑ</w:t>
                      </w:r>
                      <w:r w:rsidRPr="00F36012">
                        <w:rPr>
                          <w:b/>
                          <w:bCs/>
                          <w:color w:val="D5B788"/>
                          <w:spacing w:val="37"/>
                          <w:kern w:val="24"/>
                          <w:sz w:val="28"/>
                          <w:szCs w:val="28"/>
                        </w:rPr>
                        <w:t>O</w:t>
                      </w:r>
                      <w:r w:rsidRPr="00F36012">
                        <w:rPr>
                          <w:b/>
                          <w:bCs/>
                          <w:color w:val="D5B788"/>
                          <w:spacing w:val="74"/>
                          <w:kern w:val="24"/>
                          <w:sz w:val="28"/>
                          <w:szCs w:val="28"/>
                        </w:rPr>
                        <w:t xml:space="preserve"> </w:t>
                      </w:r>
                      <w:r w:rsidRPr="00F36012">
                        <w:rPr>
                          <w:b/>
                          <w:bCs/>
                          <w:color w:val="D5B788"/>
                          <w:spacing w:val="68"/>
                          <w:kern w:val="24"/>
                          <w:sz w:val="28"/>
                          <w:szCs w:val="28"/>
                        </w:rPr>
                        <w:t>2</w:t>
                      </w:r>
                      <w:r w:rsidRPr="00F36012">
                        <w:rPr>
                          <w:b/>
                          <w:bCs/>
                          <w:color w:val="D5B788"/>
                          <w:spacing w:val="28"/>
                          <w:kern w:val="24"/>
                          <w:sz w:val="28"/>
                          <w:szCs w:val="28"/>
                        </w:rPr>
                        <w:t>0</w:t>
                      </w:r>
                      <w:r w:rsidRPr="00F36012">
                        <w:rPr>
                          <w:b/>
                          <w:bCs/>
                          <w:color w:val="D5B788"/>
                          <w:spacing w:val="-23"/>
                          <w:kern w:val="24"/>
                          <w:sz w:val="28"/>
                          <w:szCs w:val="28"/>
                        </w:rPr>
                        <w:t xml:space="preserve"> </w:t>
                      </w:r>
                      <w:r w:rsidRPr="00F36012">
                        <w:rPr>
                          <w:b/>
                          <w:bCs/>
                          <w:color w:val="D5B788"/>
                          <w:spacing w:val="68"/>
                          <w:kern w:val="24"/>
                          <w:sz w:val="28"/>
                          <w:szCs w:val="28"/>
                        </w:rPr>
                        <w:t>2</w:t>
                      </w:r>
                      <w:r w:rsidR="0051332F">
                        <w:rPr>
                          <w:b/>
                          <w:bCs/>
                          <w:color w:val="D5B788"/>
                          <w:spacing w:val="68"/>
                          <w:kern w:val="24"/>
                          <w:sz w:val="28"/>
                          <w:szCs w:val="28"/>
                        </w:rPr>
                        <w:t>5</w:t>
                      </w:r>
                      <w:r w:rsidRPr="00F36012">
                        <w:rPr>
                          <w:b/>
                          <w:bCs/>
                          <w:color w:val="D5B788"/>
                          <w:spacing w:val="-21"/>
                          <w:kern w:val="24"/>
                          <w:sz w:val="28"/>
                          <w:szCs w:val="28"/>
                        </w:rPr>
                        <w:t xml:space="preserve"> </w:t>
                      </w:r>
                    </w:p>
                  </w:txbxContent>
                </v:textbox>
              </v:shape>
            </w:pict>
          </mc:Fallback>
        </mc:AlternateContent>
      </w:r>
      <w:r w:rsidR="0035429F" w:rsidRPr="00074F31">
        <w:rPr>
          <w:noProof/>
          <w:lang w:val="es-DO" w:eastAsia="es-DO"/>
        </w:rPr>
        <mc:AlternateContent>
          <mc:Choice Requires="wps">
            <w:drawing>
              <wp:anchor distT="4294967295" distB="4294967295" distL="114300" distR="114300" simplePos="0" relativeHeight="251701248" behindDoc="0" locked="0" layoutInCell="1" allowOverlap="1" wp14:anchorId="209AF3DE" wp14:editId="346FB0AB">
                <wp:simplePos x="0" y="0"/>
                <wp:positionH relativeFrom="margin">
                  <wp:posOffset>2800350</wp:posOffset>
                </wp:positionH>
                <wp:positionV relativeFrom="paragraph">
                  <wp:posOffset>2533650</wp:posOffset>
                </wp:positionV>
                <wp:extent cx="463550" cy="0"/>
                <wp:effectExtent l="0" t="19050" r="31750"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550" cy="0"/>
                        </a:xfrm>
                        <a:prstGeom prst="line">
                          <a:avLst/>
                        </a:prstGeom>
                        <a:noFill/>
                        <a:ln w="28575" cap="flat" cmpd="sng" algn="ctr">
                          <a:solidFill>
                            <a:srgbClr val="C8B688"/>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7171478" id="Straight Connector 9" o:spid="_x0000_s1026" style="position:absolute;z-index:25170124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20.5pt,199.5pt" to="257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" strokecolor="#c8b688" strokeweight="2.25pt">
                <v:stroke joinstyle="miter"/>
                <o:lock v:ext="edit" shapetype="f"/>
                <w10:wrap anchorx="margin"/>
              </v:line>
            </w:pict>
          </mc:Fallback>
        </mc:AlternateContent>
      </w:r>
      <w:r w:rsidR="00C64CEF" w:rsidRPr="00074F31">
        <w:rPr>
          <w:noProof/>
          <w:lang w:val="es-DO" w:eastAsia="es-DO"/>
        </w:rPr>
        <mc:AlternateContent>
          <mc:Choice Requires="wps">
            <w:drawing>
              <wp:anchor distT="0" distB="0" distL="114300" distR="114300" simplePos="0" relativeHeight="251656192" behindDoc="0" locked="0" layoutInCell="1" allowOverlap="1" wp14:anchorId="0C109D41" wp14:editId="296A1359">
                <wp:simplePos x="0" y="0"/>
                <wp:positionH relativeFrom="column">
                  <wp:posOffset>308536</wp:posOffset>
                </wp:positionH>
                <wp:positionV relativeFrom="paragraph">
                  <wp:posOffset>1312198</wp:posOffset>
                </wp:positionV>
                <wp:extent cx="5758815" cy="985651"/>
                <wp:effectExtent l="0" t="0" r="0" b="0"/>
                <wp:wrapNone/>
                <wp:docPr id="4" name="object 4"/>
                <wp:cNvGraphicFramePr/>
                <a:graphic xmlns:a="http://schemas.openxmlformats.org/drawingml/2006/main">
                  <a:graphicData uri="http://schemas.microsoft.com/office/word/2010/wordprocessingShape">
                    <wps:wsp>
                      <wps:cNvSpPr txBox="1"/>
                      <wps:spPr>
                        <a:xfrm>
                          <a:off x="0" y="0"/>
                          <a:ext cx="5758815" cy="985651"/>
                        </a:xfrm>
                        <a:prstGeom prst="rect">
                          <a:avLst/>
                        </a:prstGeom>
                      </wps:spPr>
                      <wps:txbx>
                        <w:txbxContent>
                          <w:p w14:paraId="31112306"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9797032"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0C3AA7DD" w14:textId="4D898DC8" w:rsidR="008D7F4E" w:rsidRPr="008D7F4E" w:rsidRDefault="008D7F4E" w:rsidP="008D7F4E">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0C109D41" id="object 4" o:spid="_x0000_s1028" type="#_x0000_t202" style="position:absolute;margin-left:24.3pt;margin-top:103.3pt;width:453.45pt;height:7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" filled="f" stroked="f">
                <v:textbox inset="0,1.35pt,0,0">
                  <w:txbxContent>
                    <w:p w14:paraId="31112306"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9797032"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0C3AA7DD" w14:textId="4D898DC8" w:rsidR="008D7F4E" w:rsidRPr="008D7F4E" w:rsidRDefault="008D7F4E" w:rsidP="008D7F4E">
                      <w:pPr>
                        <w:spacing w:after="0"/>
                        <w:jc w:val="center"/>
                        <w:rPr>
                          <w:b/>
                          <w:bCs/>
                          <w:color w:val="D5B788"/>
                          <w:spacing w:val="60"/>
                          <w:kern w:val="24"/>
                          <w:sz w:val="56"/>
                          <w:szCs w:val="56"/>
                          <w:lang w:val="es-DO"/>
                        </w:rPr>
                      </w:pPr>
                    </w:p>
                  </w:txbxContent>
                </v:textbox>
              </v:shape>
            </w:pict>
          </mc:Fallback>
        </mc:AlternateContent>
      </w:r>
      <w:r w:rsidR="006160B6" w:rsidRPr="00074F31">
        <w:rPr>
          <w:noProof/>
          <w:lang w:val="es-DO" w:eastAsia="es-DO"/>
        </w:rPr>
        <mc:AlternateContent>
          <mc:Choice Requires="wps">
            <w:drawing>
              <wp:anchor distT="0" distB="0" distL="114300" distR="114300" simplePos="0" relativeHeight="251683840" behindDoc="0" locked="0" layoutInCell="1" allowOverlap="1" wp14:anchorId="4B9C2ACC" wp14:editId="7D7BF5ED">
                <wp:simplePos x="0" y="0"/>
                <wp:positionH relativeFrom="column">
                  <wp:posOffset>4719955</wp:posOffset>
                </wp:positionH>
                <wp:positionV relativeFrom="paragraph">
                  <wp:posOffset>8886825</wp:posOffset>
                </wp:positionV>
                <wp:extent cx="542925" cy="509270"/>
                <wp:effectExtent l="0" t="0" r="9525" b="5080"/>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 cy="509270"/>
                        </a:xfrm>
                        <a:custGeom>
                          <a:avLst/>
                          <a:gdLst/>
                          <a:ahLst/>
                          <a:cxnLst/>
                          <a:rect l="l" t="t" r="r" b="b"/>
                          <a:pathLst>
                            <a:path w="542925" h="509270">
                              <a:moveTo>
                                <a:pt x="469493" y="480745"/>
                              </a:moveTo>
                              <a:lnTo>
                                <a:pt x="443026" y="420751"/>
                              </a:lnTo>
                              <a:lnTo>
                                <a:pt x="411670" y="394119"/>
                              </a:lnTo>
                              <a:lnTo>
                                <a:pt x="345376" y="367334"/>
                              </a:lnTo>
                              <a:lnTo>
                                <a:pt x="301078" y="358165"/>
                              </a:lnTo>
                              <a:lnTo>
                                <a:pt x="246227" y="353021"/>
                              </a:lnTo>
                              <a:lnTo>
                                <a:pt x="178435" y="352831"/>
                              </a:lnTo>
                              <a:lnTo>
                                <a:pt x="95364" y="358508"/>
                              </a:lnTo>
                              <a:lnTo>
                                <a:pt x="247738" y="379996"/>
                              </a:lnTo>
                              <a:lnTo>
                                <a:pt x="335800" y="402526"/>
                              </a:lnTo>
                              <a:lnTo>
                                <a:pt x="393103" y="439928"/>
                              </a:lnTo>
                              <a:lnTo>
                                <a:pt x="453174" y="506006"/>
                              </a:lnTo>
                              <a:lnTo>
                                <a:pt x="454482" y="507199"/>
                              </a:lnTo>
                              <a:lnTo>
                                <a:pt x="457822" y="508825"/>
                              </a:lnTo>
                              <a:lnTo>
                                <a:pt x="462343" y="507949"/>
                              </a:lnTo>
                              <a:lnTo>
                                <a:pt x="467156" y="501599"/>
                              </a:lnTo>
                              <a:lnTo>
                                <a:pt x="469493" y="480745"/>
                              </a:lnTo>
                              <a:close/>
                            </a:path>
                            <a:path w="542925" h="509270">
                              <a:moveTo>
                                <a:pt x="521449" y="422846"/>
                              </a:moveTo>
                              <a:lnTo>
                                <a:pt x="487654" y="346379"/>
                              </a:lnTo>
                              <a:lnTo>
                                <a:pt x="430403" y="305701"/>
                              </a:lnTo>
                              <a:lnTo>
                                <a:pt x="392887" y="290309"/>
                              </a:lnTo>
                              <a:lnTo>
                                <a:pt x="322529" y="272478"/>
                              </a:lnTo>
                              <a:lnTo>
                                <a:pt x="274904" y="265658"/>
                              </a:lnTo>
                              <a:lnTo>
                                <a:pt x="218884" y="261848"/>
                              </a:lnTo>
                              <a:lnTo>
                                <a:pt x="154432" y="262255"/>
                              </a:lnTo>
                              <a:lnTo>
                                <a:pt x="81495" y="268097"/>
                              </a:lnTo>
                              <a:lnTo>
                                <a:pt x="0" y="280555"/>
                              </a:lnTo>
                              <a:lnTo>
                                <a:pt x="241833" y="283540"/>
                              </a:lnTo>
                              <a:lnTo>
                                <a:pt x="374916" y="302133"/>
                              </a:lnTo>
                              <a:lnTo>
                                <a:pt x="446468" y="352209"/>
                              </a:lnTo>
                              <a:lnTo>
                                <a:pt x="503732" y="449592"/>
                              </a:lnTo>
                              <a:lnTo>
                                <a:pt x="505193" y="451142"/>
                              </a:lnTo>
                              <a:lnTo>
                                <a:pt x="508774" y="453580"/>
                              </a:lnTo>
                              <a:lnTo>
                                <a:pt x="513181" y="453669"/>
                              </a:lnTo>
                              <a:lnTo>
                                <a:pt x="517182" y="448132"/>
                              </a:lnTo>
                              <a:lnTo>
                                <a:pt x="521449" y="422846"/>
                              </a:lnTo>
                              <a:close/>
                            </a:path>
                            <a:path w="542925" h="509270">
                              <a:moveTo>
                                <a:pt x="542658" y="361467"/>
                              </a:moveTo>
                              <a:lnTo>
                                <a:pt x="539229" y="301866"/>
                              </a:lnTo>
                              <a:lnTo>
                                <a:pt x="527697" y="269087"/>
                              </a:lnTo>
                              <a:lnTo>
                                <a:pt x="498741" y="251523"/>
                              </a:lnTo>
                              <a:lnTo>
                                <a:pt x="443001" y="237540"/>
                              </a:lnTo>
                              <a:lnTo>
                                <a:pt x="453275" y="232930"/>
                              </a:lnTo>
                              <a:lnTo>
                                <a:pt x="476542" y="216649"/>
                              </a:lnTo>
                              <a:lnTo>
                                <a:pt x="501421" y="185026"/>
                              </a:lnTo>
                              <a:lnTo>
                                <a:pt x="516547" y="134416"/>
                              </a:lnTo>
                              <a:lnTo>
                                <a:pt x="508228" y="82753"/>
                              </a:lnTo>
                              <a:lnTo>
                                <a:pt x="483108" y="44183"/>
                              </a:lnTo>
                              <a:lnTo>
                                <a:pt x="447649" y="18046"/>
                              </a:lnTo>
                              <a:lnTo>
                                <a:pt x="408343" y="3632"/>
                              </a:lnTo>
                              <a:lnTo>
                                <a:pt x="359117" y="0"/>
                              </a:lnTo>
                              <a:lnTo>
                                <a:pt x="172377" y="241"/>
                              </a:lnTo>
                              <a:lnTo>
                                <a:pt x="172288" y="165176"/>
                              </a:lnTo>
                              <a:lnTo>
                                <a:pt x="172542" y="206806"/>
                              </a:lnTo>
                              <a:lnTo>
                                <a:pt x="199491" y="209765"/>
                              </a:lnTo>
                              <a:lnTo>
                                <a:pt x="218147" y="212483"/>
                              </a:lnTo>
                              <a:lnTo>
                                <a:pt x="237210" y="216535"/>
                              </a:lnTo>
                              <a:lnTo>
                                <a:pt x="265417" y="223469"/>
                              </a:lnTo>
                              <a:lnTo>
                                <a:pt x="265417" y="77266"/>
                              </a:lnTo>
                              <a:lnTo>
                                <a:pt x="338963" y="77343"/>
                              </a:lnTo>
                              <a:lnTo>
                                <a:pt x="371525" y="83299"/>
                              </a:lnTo>
                              <a:lnTo>
                                <a:pt x="403936" y="103695"/>
                              </a:lnTo>
                              <a:lnTo>
                                <a:pt x="418338" y="147142"/>
                              </a:lnTo>
                              <a:lnTo>
                                <a:pt x="415925" y="194195"/>
                              </a:lnTo>
                              <a:lnTo>
                                <a:pt x="402196" y="218440"/>
                              </a:lnTo>
                              <a:lnTo>
                                <a:pt x="365506" y="227584"/>
                              </a:lnTo>
                              <a:lnTo>
                                <a:pt x="294233" y="229336"/>
                              </a:lnTo>
                              <a:lnTo>
                                <a:pt x="321665" y="235572"/>
                              </a:lnTo>
                              <a:lnTo>
                                <a:pt x="388099" y="256959"/>
                              </a:lnTo>
                              <a:lnTo>
                                <a:pt x="469709" y="297573"/>
                              </a:lnTo>
                              <a:lnTo>
                                <a:pt x="542658" y="361467"/>
                              </a:lnTo>
                              <a:close/>
                            </a:path>
                          </a:pathLst>
                        </a:custGeom>
                        <a:solidFill>
                          <a:srgbClr val="D5B788"/>
                        </a:solidFill>
                      </wps:spPr>
                      <wps:bodyPr wrap="square" lIns="0" tIns="0" rIns="0" bIns="0" rtlCol="0"/>
                    </wps:wsp>
                  </a:graphicData>
                </a:graphic>
                <wp14:sizeRelH relativeFrom="margin">
                  <wp14:pctWidth>0</wp14:pctWidth>
                </wp14:sizeRelH>
                <wp14:sizeRelV relativeFrom="margin">
                  <wp14:pctHeight>0</wp14:pctHeight>
                </wp14:sizeRelV>
              </wp:anchor>
            </w:drawing>
          </mc:Choice>
          <mc:Fallback>
            <w:pict>
              <v:shape w14:anchorId="0DD06B0A" id="Freeform: Shape 44" o:spid="_x0000_s1026" style="position:absolute;margin-left:371.65pt;margin-top:699.75pt;width:42.75pt;height:40.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42925,509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" path="m469493,480745l443026,420751,411670,394119,345376,367334r-44298,-9169l246227,353021r-67792,-190l95364,358508r152374,21488l335800,402526r57303,37402l453174,506006r1308,1193l457822,508825r4521,-876l467156,501599r2337,-20854xem521449,422846l487654,346379,430403,305701,392887,290309,322529,272478r-47625,-6820l218884,261848r-64452,407l81495,268097,,280555r241833,2985l374916,302133r71552,50076l503732,449592r1461,1550l508774,453580r4407,89l517182,448132r4267,-25286xem542658,361467r-3429,-59601l527697,269087,498741,251523,443001,237540r10274,-4610l476542,216649r24879,-31623l516547,134416,508228,82753,483108,44183,447649,18046,408343,3632,359117,,172377,241r-89,164935l172542,206806r26949,2959l218147,212483r19063,4052l265417,223469r,-146203l338963,77343r32562,5956l403936,103695r14402,43447l415925,194195r-13729,24245l365506,227584r-71273,1752l321665,235572r66434,21387l469709,297573r72949,63894xe" fillcolor="#d5b788" stroked="f">
                <v:path arrowok="t"/>
              </v:shape>
            </w:pict>
          </mc:Fallback>
        </mc:AlternateContent>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r w:rsidR="004F2DD5" w:rsidRPr="00074F31">
        <w:rPr>
          <w:lang w:val="es-ES"/>
        </w:rPr>
        <w:tab/>
      </w:r>
    </w:p>
    <w:p w14:paraId="6F050B88" w14:textId="301F961C" w:rsidR="004F2DD5" w:rsidRPr="00074F31" w:rsidRDefault="00544419" w:rsidP="004F2DD5">
      <w:pPr>
        <w:rPr>
          <w:lang w:val="es-ES"/>
        </w:rPr>
      </w:pPr>
      <w:r w:rsidRPr="00074F31">
        <w:rPr>
          <w:noProof/>
          <w:lang w:val="es-DO" w:eastAsia="es-DO"/>
        </w:rPr>
        <mc:AlternateContent>
          <mc:Choice Requires="wpg">
            <w:drawing>
              <wp:anchor distT="0" distB="0" distL="114300" distR="114300" simplePos="0" relativeHeight="251729920" behindDoc="0" locked="0" layoutInCell="1" allowOverlap="1" wp14:anchorId="22E2C515" wp14:editId="24F1A761">
                <wp:simplePos x="0" y="0"/>
                <wp:positionH relativeFrom="column">
                  <wp:posOffset>51759</wp:posOffset>
                </wp:positionH>
                <wp:positionV relativeFrom="paragraph">
                  <wp:posOffset>149154</wp:posOffset>
                </wp:positionV>
                <wp:extent cx="2527300" cy="1005840"/>
                <wp:effectExtent l="0" t="0" r="0" b="3810"/>
                <wp:wrapNone/>
                <wp:docPr id="37" name="Group 37"/>
                <wp:cNvGraphicFramePr/>
                <a:graphic xmlns:a="http://schemas.openxmlformats.org/drawingml/2006/main">
                  <a:graphicData uri="http://schemas.microsoft.com/office/word/2010/wordprocessingGroup">
                    <wpg:wgp>
                      <wpg:cNvGrpSpPr/>
                      <wpg:grpSpPr>
                        <a:xfrm>
                          <a:off x="0" y="0"/>
                          <a:ext cx="2527300" cy="1005840"/>
                          <a:chOff x="0" y="0"/>
                          <a:chExt cx="2527539" cy="1005840"/>
                        </a:xfrm>
                      </wpg:grpSpPr>
                      <wps:wsp>
                        <wps:cNvPr id="38" name="Text Box 38"/>
                        <wps:cNvSpPr txBox="1">
                          <a:spLocks/>
                        </wps:cNvSpPr>
                        <wps:spPr>
                          <a:xfrm>
                            <a:off x="0" y="600075"/>
                            <a:ext cx="2527539" cy="371475"/>
                          </a:xfrm>
                          <a:prstGeom prst="rect">
                            <a:avLst/>
                          </a:prstGeom>
                        </wps:spPr>
                        <wps:txbx>
                          <w:txbxContent>
                            <w:p w14:paraId="7D30DA48" w14:textId="77777777" w:rsidR="00544419" w:rsidRPr="003A00CC" w:rsidRDefault="00544419"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63309FF" w14:textId="77777777" w:rsidR="00544419" w:rsidRDefault="00544419"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wps:txbx>
                        <wps:bodyPr vert="horz" wrap="square" lIns="0" tIns="15240" rIns="0" bIns="0" rtlCol="0">
                          <a:noAutofit/>
                        </wps:bodyPr>
                      </wps:wsp>
                      <wpg:grpSp>
                        <wpg:cNvPr id="39" name="Group 39"/>
                        <wpg:cNvGrpSpPr/>
                        <wpg:grpSpPr>
                          <a:xfrm>
                            <a:off x="0" y="0"/>
                            <a:ext cx="612775" cy="1005840"/>
                            <a:chOff x="0" y="0"/>
                            <a:chExt cx="612775" cy="1005840"/>
                          </a:xfrm>
                        </wpg:grpSpPr>
                        <wps:wsp>
                          <wps:cNvPr id="40" name="Freeform: Shape 40"/>
                          <wps:cNvSpPr>
                            <a:spLocks/>
                          </wps:cNvSpPr>
                          <wps:spPr>
                            <a:xfrm>
                              <a:off x="0" y="981075"/>
                              <a:ext cx="513080" cy="24765"/>
                            </a:xfrm>
                            <a:custGeom>
                              <a:avLst/>
                              <a:gdLst/>
                              <a:ahLst/>
                              <a:cxnLst/>
                              <a:rect l="l" t="t" r="r" b="b"/>
                              <a:pathLst>
                                <a:path w="513080" h="24765">
                                  <a:moveTo>
                                    <a:pt x="512457" y="0"/>
                                  </a:moveTo>
                                  <a:lnTo>
                                    <a:pt x="0" y="0"/>
                                  </a:lnTo>
                                  <a:lnTo>
                                    <a:pt x="0" y="24256"/>
                                  </a:lnTo>
                                  <a:lnTo>
                                    <a:pt x="512457" y="24256"/>
                                  </a:lnTo>
                                  <a:lnTo>
                                    <a:pt x="512457" y="0"/>
                                  </a:lnTo>
                                  <a:close/>
                                </a:path>
                              </a:pathLst>
                            </a:custGeom>
                            <a:solidFill>
                              <a:srgbClr val="D5B788"/>
                            </a:solidFill>
                          </wps:spPr>
                          <wps:bodyPr wrap="square" lIns="0" tIns="0" rIns="0" bIns="0" rtlCol="0"/>
                        </wps:wsp>
                        <pic:pic xmlns:pic="http://schemas.openxmlformats.org/drawingml/2006/picture">
                          <pic:nvPicPr>
                            <pic:cNvPr id="41" name="Picture 41" descr="Icon&#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775" cy="571500"/>
                            </a:xfrm>
                            <a:prstGeom prst="rect">
                              <a:avLst/>
                            </a:prstGeom>
                          </pic:spPr>
                        </pic:pic>
                      </wpg:grpSp>
                    </wpg:wgp>
                  </a:graphicData>
                </a:graphic>
                <wp14:sizeRelH relativeFrom="margin">
                  <wp14:pctWidth>0</wp14:pctWidth>
                </wp14:sizeRelH>
              </wp:anchor>
            </w:drawing>
          </mc:Choice>
          <mc:Fallback>
            <w:pict>
              <v:group w14:anchorId="22E2C515" id="Group 37" o:spid="_x0000_s1029" style="position:absolute;margin-left:4.1pt;margin-top:11.75pt;width:199pt;height:79.2pt;z-index:251729920;mso-width-relative:margin" coordsize="25275,10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">
                <v:shape id="Text Box 38" o:spid="_x0000_s1030" type="#_x0000_t202" style="position:absolute;top:6000;width:25275;height:3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" filled="f" stroked="f">
                  <v:textbox inset="0,1.2pt,0,0">
                    <w:txbxContent>
                      <w:p w14:paraId="7D30DA48" w14:textId="77777777" w:rsidR="00544419" w:rsidRPr="003A00CC" w:rsidRDefault="00544419"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63309FF" w14:textId="77777777" w:rsidR="00544419" w:rsidRDefault="00544419"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v:textbox>
                </v:shape>
                <v:group id="Group 39" o:spid="_x0000_s1031" style="position:absolute;width:6127;height:10058" coordsize="6127,10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Shape 40" o:spid="_x0000_s1032" style="position:absolute;top:9810;width:5130;height:248;visibility:visible;mso-wrap-style:square;v-text-anchor:top" coordsize="513080,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" path="m512457,l,,,24256r512457,l512457,xe" fillcolor="#d5b78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s1033" type="#_x0000_t75" alt="Icon&#10;&#10;Description automatically generated" style="position:absolute;width:6127;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">
                    <v:imagedata r:id="rId10" o:title="Icon&#10;&#10;Description automatically generated"/>
                  </v:shape>
                </v:group>
              </v:group>
            </w:pict>
          </mc:Fallback>
        </mc:AlternateContent>
      </w:r>
    </w:p>
    <w:p w14:paraId="17B5E9DF" w14:textId="23DDA8F6" w:rsidR="008D7F4E" w:rsidRPr="00074F31" w:rsidRDefault="0097291D" w:rsidP="008D7F4E">
      <w:pPr>
        <w:rPr>
          <w:lang w:val="es-DO"/>
        </w:rPr>
      </w:pPr>
      <w:r w:rsidRPr="00074F31">
        <w:rPr>
          <w:noProof/>
          <w:lang w:val="es-DO" w:eastAsia="es-DO"/>
        </w:rPr>
        <mc:AlternateContent>
          <mc:Choice Requires="wps">
            <w:drawing>
              <wp:anchor distT="45720" distB="45720" distL="114300" distR="114300" simplePos="0" relativeHeight="251715584" behindDoc="1" locked="0" layoutInCell="1" allowOverlap="1" wp14:anchorId="4641AD3E" wp14:editId="516AA32B">
                <wp:simplePos x="0" y="0"/>
                <wp:positionH relativeFrom="column">
                  <wp:posOffset>3571875</wp:posOffset>
                </wp:positionH>
                <wp:positionV relativeFrom="paragraph">
                  <wp:posOffset>5715</wp:posOffset>
                </wp:positionV>
                <wp:extent cx="2409825" cy="800100"/>
                <wp:effectExtent l="0" t="0" r="9525"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800100"/>
                        </a:xfrm>
                        <a:prstGeom prst="rect">
                          <a:avLst/>
                        </a:prstGeom>
                        <a:solidFill>
                          <a:srgbClr val="FFFFFF"/>
                        </a:solidFill>
                        <a:ln w="9525">
                          <a:noFill/>
                          <a:miter lim="800000"/>
                          <a:headEnd/>
                          <a:tailEnd/>
                        </a:ln>
                      </wps:spPr>
                      <wps:txbx>
                        <w:txbxContent>
                          <w:p w14:paraId="4B681A58" w14:textId="75EFAAAF" w:rsidR="0097291D" w:rsidRPr="00032423" w:rsidRDefault="006B5802" w:rsidP="0097291D">
                            <w:pPr>
                              <w:jc w:val="center"/>
                              <w:rPr>
                                <w:color w:val="D8B888"/>
                                <w:lang w:val="es-DO"/>
                              </w:rPr>
                            </w:pPr>
                            <w:r>
                              <w:rPr>
                                <w:b/>
                                <w:bCs/>
                                <w:noProof/>
                              </w:rPr>
                              <w:drawing>
                                <wp:inline distT="0" distB="0" distL="0" distR="0" wp14:anchorId="0674055F" wp14:editId="03B8CDE5">
                                  <wp:extent cx="1619250" cy="762000"/>
                                  <wp:effectExtent l="0" t="0" r="0" b="0"/>
                                  <wp:docPr id="106005023"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20637" name="Imagen 1" descr="Logotip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96137" cy="798182"/>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41AD3E" id="Text Box 2" o:spid="_x0000_s1034" type="#_x0000_t202" style="position:absolute;margin-left:281.25pt;margin-top:.45pt;width:189.75pt;height:63pt;z-index:-251600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" stroked="f">
                <v:textbox>
                  <w:txbxContent>
                    <w:p w14:paraId="4B681A58" w14:textId="75EFAAAF" w:rsidR="0097291D" w:rsidRPr="00032423" w:rsidRDefault="006B5802" w:rsidP="0097291D">
                      <w:pPr>
                        <w:jc w:val="center"/>
                        <w:rPr>
                          <w:color w:val="D8B888"/>
                          <w:lang w:val="es-DO"/>
                        </w:rPr>
                      </w:pPr>
                      <w:r>
                        <w:rPr>
                          <w:b/>
                          <w:bCs/>
                          <w:noProof/>
                        </w:rPr>
                        <w:drawing>
                          <wp:inline distT="0" distB="0" distL="0" distR="0" wp14:anchorId="0674055F" wp14:editId="03B8CDE5">
                            <wp:extent cx="1619250" cy="762000"/>
                            <wp:effectExtent l="0" t="0" r="0" b="0"/>
                            <wp:docPr id="106005023"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20637" name="Imagen 1" descr="Logotip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96137" cy="798182"/>
                                    </a:xfrm>
                                    <a:prstGeom prst="rect">
                                      <a:avLst/>
                                    </a:prstGeom>
                                  </pic:spPr>
                                </pic:pic>
                              </a:graphicData>
                            </a:graphic>
                          </wp:inline>
                        </w:drawing>
                      </w:r>
                    </w:p>
                  </w:txbxContent>
                </v:textbox>
              </v:shape>
            </w:pict>
          </mc:Fallback>
        </mc:AlternateContent>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r w:rsidR="008D7F4E" w:rsidRPr="00074F31">
        <w:rPr>
          <w:lang w:val="es-DO"/>
        </w:rPr>
        <w:tab/>
      </w:r>
    </w:p>
    <w:p w14:paraId="38D9CF2E" w14:textId="7585FBF3" w:rsidR="008D7F4E" w:rsidRPr="00074F31" w:rsidRDefault="008D7F4E" w:rsidP="008D7F4E">
      <w:pPr>
        <w:rPr>
          <w:lang w:val="es-DO"/>
        </w:rPr>
      </w:pPr>
    </w:p>
    <w:p w14:paraId="16EDE6EA" w14:textId="51136D97" w:rsidR="008D7F4E" w:rsidRPr="00074F31" w:rsidRDefault="008D7F4E" w:rsidP="008D7F4E">
      <w:pPr>
        <w:rPr>
          <w:b/>
          <w:bCs/>
          <w:lang w:val="es-DO"/>
        </w:rPr>
      </w:pPr>
    </w:p>
    <w:p w14:paraId="3FC05242" w14:textId="77777777" w:rsidR="008D7F4E" w:rsidRPr="00074F31" w:rsidRDefault="008D7F4E" w:rsidP="008D7F4E">
      <w:pPr>
        <w:rPr>
          <w:lang w:val="es-DO"/>
        </w:rPr>
      </w:pPr>
    </w:p>
    <w:p w14:paraId="52109915" w14:textId="77777777" w:rsidR="008D7F4E" w:rsidRPr="00074F31" w:rsidRDefault="008D7F4E" w:rsidP="008D7F4E">
      <w:pPr>
        <w:rPr>
          <w:lang w:val="es-DO"/>
        </w:rPr>
      </w:pPr>
    </w:p>
    <w:p w14:paraId="61CD95E4" w14:textId="75608CA4" w:rsidR="008D7F4E" w:rsidRPr="00074F31" w:rsidRDefault="008D7F4E" w:rsidP="008D7F4E">
      <w:pPr>
        <w:rPr>
          <w:lang w:val="es-DO"/>
        </w:rPr>
      </w:pPr>
    </w:p>
    <w:p w14:paraId="26FC2ECF" w14:textId="1304E68D" w:rsidR="008D7F4E" w:rsidRPr="00074F31" w:rsidRDefault="008D7F4E" w:rsidP="008D7F4E">
      <w:pPr>
        <w:rPr>
          <w:lang w:val="es-DO"/>
        </w:rPr>
      </w:pPr>
    </w:p>
    <w:p w14:paraId="339C9304" w14:textId="532ECEA5" w:rsidR="008D7F4E" w:rsidRPr="00074F31" w:rsidRDefault="008D7F4E" w:rsidP="008D7F4E">
      <w:pPr>
        <w:rPr>
          <w:lang w:val="es-DO"/>
        </w:rPr>
      </w:pPr>
    </w:p>
    <w:p w14:paraId="45BA7FA9" w14:textId="77777777" w:rsidR="0087772C" w:rsidRPr="00074F31" w:rsidRDefault="0087772C" w:rsidP="008D7F4E">
      <w:pPr>
        <w:rPr>
          <w:lang w:val="es-DO"/>
        </w:rPr>
      </w:pPr>
    </w:p>
    <w:p w14:paraId="18C0D5CD" w14:textId="6B0129B8" w:rsidR="008D7F4E" w:rsidRPr="00074F31" w:rsidRDefault="008D7F4E" w:rsidP="008D7F4E">
      <w:pPr>
        <w:rPr>
          <w:lang w:val="es-DO"/>
        </w:rPr>
      </w:pPr>
    </w:p>
    <w:p w14:paraId="38D6C8AE" w14:textId="626E8B34" w:rsidR="008D7F4E" w:rsidRPr="00074F31" w:rsidRDefault="008D7F4E" w:rsidP="008D7F4E">
      <w:pPr>
        <w:rPr>
          <w:lang w:val="es-DO"/>
        </w:rPr>
      </w:pPr>
    </w:p>
    <w:p w14:paraId="22DD7F53" w14:textId="11B7CA22" w:rsidR="008D7F4E" w:rsidRPr="00074F31" w:rsidRDefault="008D7F4E" w:rsidP="008D7F4E">
      <w:pPr>
        <w:rPr>
          <w:lang w:val="es-DO"/>
        </w:rPr>
      </w:pPr>
    </w:p>
    <w:p w14:paraId="266A4AE7" w14:textId="5784A2EE" w:rsidR="008D7F4E" w:rsidRPr="00074F31" w:rsidRDefault="008D7F4E" w:rsidP="008D7F4E">
      <w:pPr>
        <w:rPr>
          <w:lang w:val="es-DO"/>
        </w:rPr>
      </w:pPr>
    </w:p>
    <w:p w14:paraId="56C838CA" w14:textId="59180D27" w:rsidR="008D7F4E" w:rsidRPr="00074F31" w:rsidRDefault="008D7F4E" w:rsidP="008D7F4E">
      <w:pPr>
        <w:rPr>
          <w:lang w:val="es-DO"/>
        </w:rPr>
      </w:pPr>
    </w:p>
    <w:p w14:paraId="5A37720D" w14:textId="305BC668" w:rsidR="008D7F4E" w:rsidRPr="00074F31" w:rsidRDefault="008D7F4E" w:rsidP="008D7F4E">
      <w:pPr>
        <w:rPr>
          <w:lang w:val="es-DO"/>
        </w:rPr>
      </w:pPr>
    </w:p>
    <w:p w14:paraId="1C1F404E" w14:textId="6EBA6B68" w:rsidR="008D7F4E" w:rsidRPr="00074F31" w:rsidRDefault="00654164" w:rsidP="008D7F4E">
      <w:pPr>
        <w:rPr>
          <w:lang w:val="es-DO"/>
        </w:rPr>
      </w:pPr>
      <w:r w:rsidRPr="00074F31">
        <w:rPr>
          <w:noProof/>
          <w:lang w:val="es-DO" w:eastAsia="es-DO"/>
        </w:rPr>
        <mc:AlternateContent>
          <mc:Choice Requires="wps">
            <w:drawing>
              <wp:anchor distT="0" distB="0" distL="114300" distR="114300" simplePos="0" relativeHeight="251653632" behindDoc="0" locked="0" layoutInCell="1" allowOverlap="1" wp14:anchorId="611EEDAC" wp14:editId="73353D19">
                <wp:simplePos x="0" y="0"/>
                <wp:positionH relativeFrom="column">
                  <wp:posOffset>83127</wp:posOffset>
                </wp:positionH>
                <wp:positionV relativeFrom="paragraph">
                  <wp:posOffset>201930</wp:posOffset>
                </wp:positionV>
                <wp:extent cx="5758815" cy="985651"/>
                <wp:effectExtent l="0" t="0" r="0" b="0"/>
                <wp:wrapNone/>
                <wp:docPr id="7" name="object 4"/>
                <wp:cNvGraphicFramePr/>
                <a:graphic xmlns:a="http://schemas.openxmlformats.org/drawingml/2006/main">
                  <a:graphicData uri="http://schemas.microsoft.com/office/word/2010/wordprocessingShape">
                    <wps:wsp>
                      <wps:cNvSpPr txBox="1"/>
                      <wps:spPr>
                        <a:xfrm>
                          <a:off x="0" y="0"/>
                          <a:ext cx="5758815" cy="985651"/>
                        </a:xfrm>
                        <a:prstGeom prst="rect">
                          <a:avLst/>
                        </a:prstGeom>
                      </wps:spPr>
                      <wps:txbx>
                        <w:txbxContent>
                          <w:p w14:paraId="0D47117C"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A767047"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2CBE4766" w14:textId="77777777" w:rsidR="00654164" w:rsidRPr="008D7F4E" w:rsidRDefault="00654164" w:rsidP="00654164">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611EEDAC" id="_x0000_s1035" type="#_x0000_t202" style="position:absolute;margin-left:6.55pt;margin-top:15.9pt;width:453.45pt;height:77.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" filled="f" stroked="f">
                <v:textbox inset="0,1.35pt,0,0">
                  <w:txbxContent>
                    <w:p w14:paraId="0D47117C"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 xml:space="preserve">MEMORIA </w:t>
                      </w:r>
                    </w:p>
                    <w:p w14:paraId="7A767047" w14:textId="77777777" w:rsidR="00654164" w:rsidRDefault="00654164" w:rsidP="00654164">
                      <w:pPr>
                        <w:spacing w:after="0"/>
                        <w:jc w:val="center"/>
                        <w:rPr>
                          <w:b/>
                          <w:bCs/>
                          <w:color w:val="D5B788"/>
                          <w:spacing w:val="60"/>
                          <w:kern w:val="24"/>
                          <w:sz w:val="56"/>
                          <w:szCs w:val="56"/>
                          <w:lang w:val="es-DO"/>
                        </w:rPr>
                      </w:pPr>
                      <w:r>
                        <w:rPr>
                          <w:b/>
                          <w:bCs/>
                          <w:color w:val="D5B788"/>
                          <w:spacing w:val="60"/>
                          <w:kern w:val="24"/>
                          <w:sz w:val="56"/>
                          <w:szCs w:val="56"/>
                          <w:lang w:val="es-DO"/>
                        </w:rPr>
                        <w:t>INSTITUCIONAL</w:t>
                      </w:r>
                    </w:p>
                    <w:p w14:paraId="2CBE4766" w14:textId="77777777" w:rsidR="00654164" w:rsidRPr="008D7F4E" w:rsidRDefault="00654164" w:rsidP="00654164">
                      <w:pPr>
                        <w:spacing w:after="0"/>
                        <w:jc w:val="center"/>
                        <w:rPr>
                          <w:b/>
                          <w:bCs/>
                          <w:color w:val="D5B788"/>
                          <w:spacing w:val="60"/>
                          <w:kern w:val="24"/>
                          <w:sz w:val="56"/>
                          <w:szCs w:val="56"/>
                          <w:lang w:val="es-DO"/>
                        </w:rPr>
                      </w:pPr>
                    </w:p>
                  </w:txbxContent>
                </v:textbox>
              </v:shape>
            </w:pict>
          </mc:Fallback>
        </mc:AlternateContent>
      </w:r>
    </w:p>
    <w:p w14:paraId="75F2B32B" w14:textId="0A836B5C" w:rsidR="008D7F4E" w:rsidRPr="00074F31" w:rsidRDefault="00C64CEF" w:rsidP="008D7F4E">
      <w:pPr>
        <w:rPr>
          <w:b/>
          <w:bCs/>
          <w:lang w:val="es-DO"/>
        </w:rPr>
      </w:pPr>
      <w:r w:rsidRPr="00074F31">
        <w:rPr>
          <w:noProof/>
          <w:lang w:val="es-DO" w:eastAsia="es-DO"/>
        </w:rPr>
        <mc:AlternateContent>
          <mc:Choice Requires="wps">
            <w:drawing>
              <wp:anchor distT="0" distB="0" distL="114300" distR="114300" simplePos="0" relativeHeight="251705344" behindDoc="0" locked="0" layoutInCell="1" allowOverlap="1" wp14:anchorId="4D0BD95E" wp14:editId="03291CEF">
                <wp:simplePos x="0" y="0"/>
                <wp:positionH relativeFrom="column">
                  <wp:posOffset>86264</wp:posOffset>
                </wp:positionH>
                <wp:positionV relativeFrom="paragraph">
                  <wp:posOffset>248548</wp:posOffset>
                </wp:positionV>
                <wp:extent cx="5758815" cy="543464"/>
                <wp:effectExtent l="0" t="0" r="0" b="0"/>
                <wp:wrapNone/>
                <wp:docPr id="23" name="object 4"/>
                <wp:cNvGraphicFramePr/>
                <a:graphic xmlns:a="http://schemas.openxmlformats.org/drawingml/2006/main">
                  <a:graphicData uri="http://schemas.microsoft.com/office/word/2010/wordprocessingShape">
                    <wps:wsp>
                      <wps:cNvSpPr txBox="1"/>
                      <wps:spPr>
                        <a:xfrm>
                          <a:off x="0" y="0"/>
                          <a:ext cx="5758815" cy="543464"/>
                        </a:xfrm>
                        <a:prstGeom prst="rect">
                          <a:avLst/>
                        </a:prstGeom>
                      </wps:spPr>
                      <wps:txbx>
                        <w:txbxContent>
                          <w:p w14:paraId="2F488BCC" w14:textId="5DB7AF83" w:rsidR="00C64CEF" w:rsidRPr="008D7F4E" w:rsidRDefault="00C64CEF" w:rsidP="00C64CEF">
                            <w:pPr>
                              <w:spacing w:after="0"/>
                              <w:jc w:val="center"/>
                              <w:rPr>
                                <w:b/>
                                <w:bCs/>
                                <w:color w:val="D5B788"/>
                                <w:spacing w:val="60"/>
                                <w:kern w:val="24"/>
                                <w:sz w:val="56"/>
                                <w:szCs w:val="56"/>
                                <w:lang w:val="es-DO"/>
                              </w:rPr>
                            </w:pPr>
                          </w:p>
                        </w:txbxContent>
                      </wps:txbx>
                      <wps:bodyPr vert="horz" wrap="square" lIns="0" tIns="17145" rIns="0" bIns="0" rtlCol="0">
                        <a:noAutofit/>
                      </wps:bodyPr>
                    </wps:wsp>
                  </a:graphicData>
                </a:graphic>
                <wp14:sizeRelH relativeFrom="margin">
                  <wp14:pctWidth>0</wp14:pctWidth>
                </wp14:sizeRelH>
                <wp14:sizeRelV relativeFrom="margin">
                  <wp14:pctHeight>0</wp14:pctHeight>
                </wp14:sizeRelV>
              </wp:anchor>
            </w:drawing>
          </mc:Choice>
          <mc:Fallback>
            <w:pict>
              <v:shape w14:anchorId="4D0BD95E" id="_x0000_s1036" type="#_x0000_t202" style="position:absolute;margin-left:6.8pt;margin-top:19.55pt;width:453.45pt;height:42.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" filled="f" stroked="f">
                <v:textbox inset="0,1.35pt,0,0">
                  <w:txbxContent>
                    <w:p w14:paraId="2F488BCC" w14:textId="5DB7AF83" w:rsidR="00C64CEF" w:rsidRPr="008D7F4E" w:rsidRDefault="00C64CEF" w:rsidP="00C64CEF">
                      <w:pPr>
                        <w:spacing w:after="0"/>
                        <w:jc w:val="center"/>
                        <w:rPr>
                          <w:b/>
                          <w:bCs/>
                          <w:color w:val="D5B788"/>
                          <w:spacing w:val="60"/>
                          <w:kern w:val="24"/>
                          <w:sz w:val="56"/>
                          <w:szCs w:val="56"/>
                          <w:lang w:val="es-DO"/>
                        </w:rPr>
                      </w:pPr>
                    </w:p>
                  </w:txbxContent>
                </v:textbox>
              </v:shape>
            </w:pict>
          </mc:Fallback>
        </mc:AlternateContent>
      </w:r>
    </w:p>
    <w:p w14:paraId="7AD079B8" w14:textId="6A76E097" w:rsidR="008D7F4E" w:rsidRPr="00074F31" w:rsidRDefault="008D7F4E" w:rsidP="008D7F4E">
      <w:pPr>
        <w:rPr>
          <w:lang w:val="es-DO"/>
        </w:rPr>
      </w:pPr>
    </w:p>
    <w:p w14:paraId="2ADA86D9" w14:textId="7BFC7FAB" w:rsidR="008D7F4E" w:rsidRPr="00074F31" w:rsidRDefault="008D7F4E" w:rsidP="008D7F4E">
      <w:pPr>
        <w:rPr>
          <w:b/>
          <w:bCs/>
          <w:lang w:val="es-DO"/>
        </w:rPr>
      </w:pPr>
    </w:p>
    <w:p w14:paraId="163CEF29" w14:textId="2E82E86B" w:rsidR="00E739F8" w:rsidRPr="00074F31" w:rsidRDefault="001E07B9" w:rsidP="008D7F4E">
      <w:pPr>
        <w:rPr>
          <w:b/>
          <w:bCs/>
          <w:lang w:val="es-DO"/>
        </w:rPr>
      </w:pPr>
      <w:r w:rsidRPr="00074F31">
        <w:rPr>
          <w:noProof/>
          <w:lang w:val="es-DO" w:eastAsia="es-DO"/>
        </w:rPr>
        <mc:AlternateContent>
          <mc:Choice Requires="wps">
            <w:drawing>
              <wp:anchor distT="4294967295" distB="4294967295" distL="114300" distR="114300" simplePos="0" relativeHeight="251703296" behindDoc="0" locked="0" layoutInCell="1" allowOverlap="1" wp14:anchorId="4E0C23B7" wp14:editId="1447021F">
                <wp:simplePos x="0" y="0"/>
                <wp:positionH relativeFrom="margin">
                  <wp:posOffset>2799715</wp:posOffset>
                </wp:positionH>
                <wp:positionV relativeFrom="paragraph">
                  <wp:posOffset>169545</wp:posOffset>
                </wp:positionV>
                <wp:extent cx="463550" cy="0"/>
                <wp:effectExtent l="0" t="19050" r="31750" b="190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3550" cy="0"/>
                        </a:xfrm>
                        <a:prstGeom prst="line">
                          <a:avLst/>
                        </a:prstGeom>
                        <a:noFill/>
                        <a:ln w="28575" cap="flat" cmpd="sng" algn="ctr">
                          <a:solidFill>
                            <a:srgbClr val="C8B688"/>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5A0F42A" id="Straight Connector 22" o:spid="_x0000_s1026" style="position:absolute;z-index:25170329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20.45pt,13.35pt" to="256.9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" strokecolor="#c8b688" strokeweight="2.25pt">
                <v:stroke joinstyle="miter"/>
                <o:lock v:ext="edit" shapetype="f"/>
                <w10:wrap anchorx="margin"/>
              </v:line>
            </w:pict>
          </mc:Fallback>
        </mc:AlternateContent>
      </w:r>
    </w:p>
    <w:p w14:paraId="3A86A8D9" w14:textId="6F1B1115" w:rsidR="00E739F8" w:rsidRPr="00074F31" w:rsidRDefault="001E07B9" w:rsidP="008D7F4E">
      <w:pPr>
        <w:rPr>
          <w:b/>
          <w:bCs/>
          <w:lang w:val="es-DO"/>
        </w:rPr>
      </w:pPr>
      <w:r w:rsidRPr="00074F31">
        <w:rPr>
          <w:noProof/>
          <w:lang w:val="es-DO" w:eastAsia="es-DO"/>
        </w:rPr>
        <mc:AlternateContent>
          <mc:Choice Requires="wps">
            <w:drawing>
              <wp:anchor distT="0" distB="0" distL="114300" distR="114300" simplePos="0" relativeHeight="251668480" behindDoc="0" locked="0" layoutInCell="1" allowOverlap="1" wp14:anchorId="65361376" wp14:editId="6AAD6EE1">
                <wp:simplePos x="0" y="0"/>
                <wp:positionH relativeFrom="column">
                  <wp:posOffset>2447247</wp:posOffset>
                </wp:positionH>
                <wp:positionV relativeFrom="paragraph">
                  <wp:posOffset>108528</wp:posOffset>
                </wp:positionV>
                <wp:extent cx="1214755" cy="308610"/>
                <wp:effectExtent l="0" t="0" r="0" b="0"/>
                <wp:wrapNone/>
                <wp:docPr id="16" name="object 5"/>
                <wp:cNvGraphicFramePr/>
                <a:graphic xmlns:a="http://schemas.openxmlformats.org/drawingml/2006/main">
                  <a:graphicData uri="http://schemas.microsoft.com/office/word/2010/wordprocessingShape">
                    <wps:wsp>
                      <wps:cNvSpPr txBox="1"/>
                      <wps:spPr>
                        <a:xfrm>
                          <a:off x="0" y="0"/>
                          <a:ext cx="1214755" cy="308610"/>
                        </a:xfrm>
                        <a:prstGeom prst="rect">
                          <a:avLst/>
                        </a:prstGeom>
                      </wps:spPr>
                      <wps:txbx>
                        <w:txbxContent>
                          <w:p w14:paraId="6B362718" w14:textId="16CB4E68" w:rsidR="008D7F4E" w:rsidRPr="005805BA" w:rsidRDefault="008D7F4E" w:rsidP="008D7F4E">
                            <w:pPr>
                              <w:spacing w:before="20"/>
                              <w:ind w:left="14"/>
                              <w:rPr>
                                <w:b/>
                                <w:bCs/>
                                <w:color w:val="D5B788"/>
                                <w:spacing w:val="74"/>
                                <w:kern w:val="24"/>
                                <w:sz w:val="28"/>
                                <w:szCs w:val="28"/>
                              </w:rPr>
                            </w:pPr>
                            <w:r w:rsidRPr="005805BA">
                              <w:rPr>
                                <w:b/>
                                <w:bCs/>
                                <w:color w:val="D5B788"/>
                                <w:spacing w:val="74"/>
                                <w:kern w:val="24"/>
                                <w:sz w:val="28"/>
                                <w:szCs w:val="28"/>
                              </w:rPr>
                              <w:t>AÑ</w:t>
                            </w:r>
                            <w:r w:rsidRPr="005805BA">
                              <w:rPr>
                                <w:b/>
                                <w:bCs/>
                                <w:color w:val="D5B788"/>
                                <w:spacing w:val="37"/>
                                <w:kern w:val="24"/>
                                <w:sz w:val="28"/>
                                <w:szCs w:val="28"/>
                              </w:rPr>
                              <w:t>O</w:t>
                            </w:r>
                            <w:r w:rsidRPr="005805BA">
                              <w:rPr>
                                <w:b/>
                                <w:bCs/>
                                <w:color w:val="D5B788"/>
                                <w:spacing w:val="74"/>
                                <w:kern w:val="24"/>
                                <w:sz w:val="28"/>
                                <w:szCs w:val="28"/>
                              </w:rPr>
                              <w:t xml:space="preserve"> </w:t>
                            </w:r>
                            <w:r w:rsidRPr="005805BA">
                              <w:rPr>
                                <w:b/>
                                <w:bCs/>
                                <w:color w:val="D5B788"/>
                                <w:spacing w:val="68"/>
                                <w:kern w:val="24"/>
                                <w:sz w:val="28"/>
                                <w:szCs w:val="28"/>
                              </w:rPr>
                              <w:t>2</w:t>
                            </w:r>
                            <w:r w:rsidRPr="005805BA">
                              <w:rPr>
                                <w:b/>
                                <w:bCs/>
                                <w:color w:val="D5B788"/>
                                <w:spacing w:val="28"/>
                                <w:kern w:val="24"/>
                                <w:sz w:val="28"/>
                                <w:szCs w:val="28"/>
                              </w:rPr>
                              <w:t>0</w:t>
                            </w:r>
                            <w:r w:rsidRPr="005805BA">
                              <w:rPr>
                                <w:b/>
                                <w:bCs/>
                                <w:color w:val="D5B788"/>
                                <w:spacing w:val="-23"/>
                                <w:kern w:val="24"/>
                                <w:sz w:val="28"/>
                                <w:szCs w:val="28"/>
                              </w:rPr>
                              <w:t xml:space="preserve"> </w:t>
                            </w:r>
                            <w:r w:rsidRPr="005805BA">
                              <w:rPr>
                                <w:b/>
                                <w:bCs/>
                                <w:color w:val="D5B788"/>
                                <w:spacing w:val="68"/>
                                <w:kern w:val="24"/>
                                <w:sz w:val="28"/>
                                <w:szCs w:val="28"/>
                              </w:rPr>
                              <w:t>2</w:t>
                            </w:r>
                            <w:r w:rsidR="0051332F">
                              <w:rPr>
                                <w:b/>
                                <w:bCs/>
                                <w:color w:val="D5B788"/>
                                <w:spacing w:val="28"/>
                                <w:kern w:val="24"/>
                                <w:sz w:val="28"/>
                                <w:szCs w:val="28"/>
                              </w:rPr>
                              <w:t>5</w:t>
                            </w:r>
                            <w:r w:rsidRPr="005805BA">
                              <w:rPr>
                                <w:b/>
                                <w:bCs/>
                                <w:color w:val="D5B788"/>
                                <w:spacing w:val="-21"/>
                                <w:kern w:val="24"/>
                                <w:sz w:val="28"/>
                                <w:szCs w:val="28"/>
                              </w:rPr>
                              <w:t xml:space="preserve"> </w:t>
                            </w:r>
                          </w:p>
                        </w:txbxContent>
                      </wps:txbx>
                      <wps:bodyPr vert="horz" wrap="square" lIns="0" tIns="12700" rIns="0" bIns="0" rtlCol="0">
                        <a:noAutofit/>
                      </wps:bodyPr>
                    </wps:wsp>
                  </a:graphicData>
                </a:graphic>
                <wp14:sizeRelH relativeFrom="margin">
                  <wp14:pctWidth>0</wp14:pctWidth>
                </wp14:sizeRelH>
                <wp14:sizeRelV relativeFrom="margin">
                  <wp14:pctHeight>0</wp14:pctHeight>
                </wp14:sizeRelV>
              </wp:anchor>
            </w:drawing>
          </mc:Choice>
          <mc:Fallback>
            <w:pict>
              <v:shape w14:anchorId="65361376" id="_x0000_s1037" type="#_x0000_t202" style="position:absolute;margin-left:192.7pt;margin-top:8.55pt;width:95.65pt;height:24.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" filled="f" stroked="f">
                <v:textbox inset="0,1pt,0,0">
                  <w:txbxContent>
                    <w:p w14:paraId="6B362718" w14:textId="16CB4E68" w:rsidR="008D7F4E" w:rsidRPr="005805BA" w:rsidRDefault="008D7F4E" w:rsidP="008D7F4E">
                      <w:pPr>
                        <w:spacing w:before="20"/>
                        <w:ind w:left="14"/>
                        <w:rPr>
                          <w:b/>
                          <w:bCs/>
                          <w:color w:val="D5B788"/>
                          <w:spacing w:val="74"/>
                          <w:kern w:val="24"/>
                          <w:sz w:val="28"/>
                          <w:szCs w:val="28"/>
                        </w:rPr>
                      </w:pPr>
                      <w:r w:rsidRPr="005805BA">
                        <w:rPr>
                          <w:b/>
                          <w:bCs/>
                          <w:color w:val="D5B788"/>
                          <w:spacing w:val="74"/>
                          <w:kern w:val="24"/>
                          <w:sz w:val="28"/>
                          <w:szCs w:val="28"/>
                        </w:rPr>
                        <w:t>AÑ</w:t>
                      </w:r>
                      <w:r w:rsidRPr="005805BA">
                        <w:rPr>
                          <w:b/>
                          <w:bCs/>
                          <w:color w:val="D5B788"/>
                          <w:spacing w:val="37"/>
                          <w:kern w:val="24"/>
                          <w:sz w:val="28"/>
                          <w:szCs w:val="28"/>
                        </w:rPr>
                        <w:t>O</w:t>
                      </w:r>
                      <w:r w:rsidRPr="005805BA">
                        <w:rPr>
                          <w:b/>
                          <w:bCs/>
                          <w:color w:val="D5B788"/>
                          <w:spacing w:val="74"/>
                          <w:kern w:val="24"/>
                          <w:sz w:val="28"/>
                          <w:szCs w:val="28"/>
                        </w:rPr>
                        <w:t xml:space="preserve"> </w:t>
                      </w:r>
                      <w:r w:rsidRPr="005805BA">
                        <w:rPr>
                          <w:b/>
                          <w:bCs/>
                          <w:color w:val="D5B788"/>
                          <w:spacing w:val="68"/>
                          <w:kern w:val="24"/>
                          <w:sz w:val="28"/>
                          <w:szCs w:val="28"/>
                        </w:rPr>
                        <w:t>2</w:t>
                      </w:r>
                      <w:r w:rsidRPr="005805BA">
                        <w:rPr>
                          <w:b/>
                          <w:bCs/>
                          <w:color w:val="D5B788"/>
                          <w:spacing w:val="28"/>
                          <w:kern w:val="24"/>
                          <w:sz w:val="28"/>
                          <w:szCs w:val="28"/>
                        </w:rPr>
                        <w:t>0</w:t>
                      </w:r>
                      <w:r w:rsidRPr="005805BA">
                        <w:rPr>
                          <w:b/>
                          <w:bCs/>
                          <w:color w:val="D5B788"/>
                          <w:spacing w:val="-23"/>
                          <w:kern w:val="24"/>
                          <w:sz w:val="28"/>
                          <w:szCs w:val="28"/>
                        </w:rPr>
                        <w:t xml:space="preserve"> </w:t>
                      </w:r>
                      <w:r w:rsidRPr="005805BA">
                        <w:rPr>
                          <w:b/>
                          <w:bCs/>
                          <w:color w:val="D5B788"/>
                          <w:spacing w:val="68"/>
                          <w:kern w:val="24"/>
                          <w:sz w:val="28"/>
                          <w:szCs w:val="28"/>
                        </w:rPr>
                        <w:t>2</w:t>
                      </w:r>
                      <w:r w:rsidR="0051332F">
                        <w:rPr>
                          <w:b/>
                          <w:bCs/>
                          <w:color w:val="D5B788"/>
                          <w:spacing w:val="28"/>
                          <w:kern w:val="24"/>
                          <w:sz w:val="28"/>
                          <w:szCs w:val="28"/>
                        </w:rPr>
                        <w:t>5</w:t>
                      </w:r>
                      <w:r w:rsidRPr="005805BA">
                        <w:rPr>
                          <w:b/>
                          <w:bCs/>
                          <w:color w:val="D5B788"/>
                          <w:spacing w:val="-21"/>
                          <w:kern w:val="24"/>
                          <w:sz w:val="28"/>
                          <w:szCs w:val="28"/>
                        </w:rPr>
                        <w:t xml:space="preserve"> </w:t>
                      </w:r>
                    </w:p>
                  </w:txbxContent>
                </v:textbox>
              </v:shape>
            </w:pict>
          </mc:Fallback>
        </mc:AlternateContent>
      </w:r>
    </w:p>
    <w:p w14:paraId="1C74082E" w14:textId="28C0782E" w:rsidR="008D7F4E" w:rsidRPr="00074F31" w:rsidRDefault="008D7F4E" w:rsidP="008D7F4E">
      <w:pPr>
        <w:tabs>
          <w:tab w:val="left" w:pos="5229"/>
        </w:tabs>
        <w:rPr>
          <w:lang w:val="es-DO"/>
        </w:rPr>
      </w:pPr>
      <w:r w:rsidRPr="00074F31">
        <w:rPr>
          <w:lang w:val="es-DO"/>
        </w:rPr>
        <w:tab/>
      </w:r>
      <w:r w:rsidRPr="00074F31">
        <w:rPr>
          <w:lang w:val="es-DO"/>
        </w:rPr>
        <w:tab/>
      </w:r>
      <w:r w:rsidRPr="00074F31">
        <w:rPr>
          <w:lang w:val="es-DO"/>
        </w:rPr>
        <w:tab/>
      </w:r>
    </w:p>
    <w:p w14:paraId="2A6A7BEB" w14:textId="35E3FF32" w:rsidR="008D7F4E" w:rsidRPr="00074F31" w:rsidRDefault="008D7F4E" w:rsidP="008D7F4E">
      <w:pPr>
        <w:tabs>
          <w:tab w:val="left" w:pos="5229"/>
        </w:tabs>
        <w:rPr>
          <w:lang w:val="es-DO"/>
        </w:rPr>
      </w:pPr>
    </w:p>
    <w:p w14:paraId="5220AA7B" w14:textId="7F7316F4" w:rsidR="008D7F4E" w:rsidRPr="00074F31" w:rsidRDefault="008D7F4E" w:rsidP="008D7F4E">
      <w:pPr>
        <w:tabs>
          <w:tab w:val="left" w:pos="5229"/>
        </w:tabs>
        <w:rPr>
          <w:lang w:val="es-DO"/>
        </w:rPr>
      </w:pPr>
    </w:p>
    <w:p w14:paraId="04CE79E8" w14:textId="77777777" w:rsidR="00B45B38" w:rsidRPr="00074F31" w:rsidRDefault="00B45B38" w:rsidP="008D7F4E">
      <w:pPr>
        <w:tabs>
          <w:tab w:val="left" w:pos="5229"/>
        </w:tabs>
        <w:rPr>
          <w:lang w:val="es-DO"/>
        </w:rPr>
      </w:pPr>
    </w:p>
    <w:p w14:paraId="59F2CBAA" w14:textId="77777777" w:rsidR="00B45B38" w:rsidRPr="00074F31" w:rsidRDefault="00B45B38" w:rsidP="00B45B38">
      <w:pPr>
        <w:tabs>
          <w:tab w:val="left" w:pos="5229"/>
        </w:tabs>
        <w:jc w:val="center"/>
        <w:rPr>
          <w:lang w:val="es-DO"/>
        </w:rPr>
      </w:pPr>
    </w:p>
    <w:p w14:paraId="6B439D31" w14:textId="1820C81F" w:rsidR="00B45B38" w:rsidRPr="00074F31" w:rsidRDefault="00544419" w:rsidP="008D7F4E">
      <w:pPr>
        <w:tabs>
          <w:tab w:val="left" w:pos="5229"/>
        </w:tabs>
        <w:rPr>
          <w:lang w:val="es-DO"/>
        </w:rPr>
      </w:pPr>
      <w:r w:rsidRPr="00074F31">
        <w:rPr>
          <w:noProof/>
          <w:lang w:val="es-DO" w:eastAsia="es-DO"/>
        </w:rPr>
        <mc:AlternateContent>
          <mc:Choice Requires="wpg">
            <w:drawing>
              <wp:anchor distT="0" distB="0" distL="114300" distR="114300" simplePos="0" relativeHeight="251727872" behindDoc="0" locked="0" layoutInCell="1" allowOverlap="1" wp14:anchorId="668AD27C" wp14:editId="6DF2B1B7">
                <wp:simplePos x="0" y="0"/>
                <wp:positionH relativeFrom="column">
                  <wp:posOffset>387985</wp:posOffset>
                </wp:positionH>
                <wp:positionV relativeFrom="paragraph">
                  <wp:posOffset>268533</wp:posOffset>
                </wp:positionV>
                <wp:extent cx="2527300" cy="1005840"/>
                <wp:effectExtent l="0" t="0" r="0" b="3810"/>
                <wp:wrapNone/>
                <wp:docPr id="29" name="Group 29"/>
                <wp:cNvGraphicFramePr/>
                <a:graphic xmlns:a="http://schemas.openxmlformats.org/drawingml/2006/main">
                  <a:graphicData uri="http://schemas.microsoft.com/office/word/2010/wordprocessingGroup">
                    <wpg:wgp>
                      <wpg:cNvGrpSpPr/>
                      <wpg:grpSpPr>
                        <a:xfrm>
                          <a:off x="0" y="0"/>
                          <a:ext cx="2527300" cy="1005840"/>
                          <a:chOff x="0" y="0"/>
                          <a:chExt cx="2527539" cy="1005840"/>
                        </a:xfrm>
                      </wpg:grpSpPr>
                      <wps:wsp>
                        <wps:cNvPr id="30" name="Text Box 30"/>
                        <wps:cNvSpPr txBox="1">
                          <a:spLocks/>
                        </wps:cNvSpPr>
                        <wps:spPr>
                          <a:xfrm>
                            <a:off x="0" y="600075"/>
                            <a:ext cx="2527539" cy="371475"/>
                          </a:xfrm>
                          <a:prstGeom prst="rect">
                            <a:avLst/>
                          </a:prstGeom>
                        </wps:spPr>
                        <wps:txbx>
                          <w:txbxContent>
                            <w:p w14:paraId="39B79353" w14:textId="77777777" w:rsidR="00544419" w:rsidRPr="003A00CC" w:rsidRDefault="00544419"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29BA5E7" w14:textId="77777777" w:rsidR="00544419" w:rsidRDefault="00544419"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wps:txbx>
                        <wps:bodyPr vert="horz" wrap="square" lIns="0" tIns="15240" rIns="0" bIns="0" rtlCol="0">
                          <a:noAutofit/>
                        </wps:bodyPr>
                      </wps:wsp>
                      <wpg:grpSp>
                        <wpg:cNvPr id="31" name="Group 31"/>
                        <wpg:cNvGrpSpPr/>
                        <wpg:grpSpPr>
                          <a:xfrm>
                            <a:off x="0" y="0"/>
                            <a:ext cx="612775" cy="1005840"/>
                            <a:chOff x="0" y="0"/>
                            <a:chExt cx="612775" cy="1005840"/>
                          </a:xfrm>
                        </wpg:grpSpPr>
                        <wps:wsp>
                          <wps:cNvPr id="32" name="Freeform: Shape 32"/>
                          <wps:cNvSpPr>
                            <a:spLocks/>
                          </wps:cNvSpPr>
                          <wps:spPr>
                            <a:xfrm>
                              <a:off x="0" y="981075"/>
                              <a:ext cx="513080" cy="24765"/>
                            </a:xfrm>
                            <a:custGeom>
                              <a:avLst/>
                              <a:gdLst/>
                              <a:ahLst/>
                              <a:cxnLst/>
                              <a:rect l="l" t="t" r="r" b="b"/>
                              <a:pathLst>
                                <a:path w="513080" h="24765">
                                  <a:moveTo>
                                    <a:pt x="512457" y="0"/>
                                  </a:moveTo>
                                  <a:lnTo>
                                    <a:pt x="0" y="0"/>
                                  </a:lnTo>
                                  <a:lnTo>
                                    <a:pt x="0" y="24256"/>
                                  </a:lnTo>
                                  <a:lnTo>
                                    <a:pt x="512457" y="24256"/>
                                  </a:lnTo>
                                  <a:lnTo>
                                    <a:pt x="512457" y="0"/>
                                  </a:lnTo>
                                  <a:close/>
                                </a:path>
                              </a:pathLst>
                            </a:custGeom>
                            <a:solidFill>
                              <a:srgbClr val="D5B788"/>
                            </a:solidFill>
                          </wps:spPr>
                          <wps:bodyPr wrap="square" lIns="0" tIns="0" rIns="0" bIns="0" rtlCol="0"/>
                        </wps:wsp>
                        <pic:pic xmlns:pic="http://schemas.openxmlformats.org/drawingml/2006/picture">
                          <pic:nvPicPr>
                            <pic:cNvPr id="36" name="Picture 36" descr="Icon&#10;&#10;Description automatically generated"/>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775" cy="571500"/>
                            </a:xfrm>
                            <a:prstGeom prst="rect">
                              <a:avLst/>
                            </a:prstGeom>
                          </pic:spPr>
                        </pic:pic>
                      </wpg:grpSp>
                    </wpg:wgp>
                  </a:graphicData>
                </a:graphic>
                <wp14:sizeRelH relativeFrom="margin">
                  <wp14:pctWidth>0</wp14:pctWidth>
                </wp14:sizeRelH>
              </wp:anchor>
            </w:drawing>
          </mc:Choice>
          <mc:Fallback>
            <w:pict>
              <v:group w14:anchorId="668AD27C" id="Group 29" o:spid="_x0000_s1038" style="position:absolute;margin-left:30.55pt;margin-top:21.15pt;width:199pt;height:79.2pt;z-index:251727872;mso-width-relative:margin" coordsize="25275,10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">
                <v:shape id="Text Box 30" o:spid="_x0000_s1039" type="#_x0000_t202" style="position:absolute;top:6000;width:25275;height:3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" filled="f" stroked="f">
                  <v:textbox inset="0,1.2pt,0,0">
                    <w:txbxContent>
                      <w:p w14:paraId="39B79353" w14:textId="77777777" w:rsidR="00544419" w:rsidRPr="003A00CC" w:rsidRDefault="00544419" w:rsidP="00544419">
                        <w:pPr>
                          <w:pStyle w:val="Sinespaciado"/>
                          <w:rPr>
                            <w:rFonts w:ascii="Arial MT" w:hAnsi="Arial MT" w:cs="Arial MT"/>
                            <w:color w:val="D5B788"/>
                            <w:spacing w:val="23"/>
                            <w:kern w:val="24"/>
                            <w:sz w:val="15"/>
                            <w:szCs w:val="15"/>
                          </w:rPr>
                        </w:pPr>
                        <w:r w:rsidRPr="003A00CC">
                          <w:rPr>
                            <w:rFonts w:ascii="Arial MT" w:hAnsi="Arial MT" w:cs="Arial MT"/>
                            <w:color w:val="D5B788"/>
                            <w:spacing w:val="23"/>
                            <w:kern w:val="24"/>
                            <w:sz w:val="15"/>
                            <w:szCs w:val="15"/>
                          </w:rPr>
                          <w:t>GOBIERNO DE LA</w:t>
                        </w:r>
                      </w:p>
                      <w:p w14:paraId="529BA5E7" w14:textId="77777777" w:rsidR="00544419" w:rsidRDefault="00544419" w:rsidP="00544419">
                        <w:pPr>
                          <w:spacing w:before="13"/>
                          <w:ind w:left="14"/>
                          <w:rPr>
                            <w:rFonts w:ascii="Georgia" w:hAnsi="Georgia" w:cs="Georgia"/>
                            <w:b/>
                            <w:bCs/>
                            <w:color w:val="D5B788"/>
                            <w:spacing w:val="18"/>
                            <w:kern w:val="24"/>
                          </w:rPr>
                        </w:pPr>
                        <w:r>
                          <w:rPr>
                            <w:rFonts w:ascii="Georgia" w:hAnsi="Georgia" w:cs="Georgia"/>
                            <w:b/>
                            <w:bCs/>
                            <w:color w:val="D5B788"/>
                            <w:spacing w:val="18"/>
                            <w:kern w:val="24"/>
                          </w:rPr>
                          <w:t>REPÚBLICA</w:t>
                        </w:r>
                        <w:r>
                          <w:rPr>
                            <w:rFonts w:ascii="Georgia" w:hAnsi="Georgia" w:cs="Georgia"/>
                            <w:b/>
                            <w:bCs/>
                            <w:color w:val="D5B788"/>
                            <w:spacing w:val="29"/>
                            <w:kern w:val="24"/>
                          </w:rPr>
                          <w:t xml:space="preserve"> </w:t>
                        </w:r>
                        <w:r>
                          <w:rPr>
                            <w:rFonts w:ascii="Georgia" w:hAnsi="Georgia" w:cs="Georgia"/>
                            <w:b/>
                            <w:bCs/>
                            <w:color w:val="D5B788"/>
                            <w:kern w:val="24"/>
                          </w:rPr>
                          <w:t>DOMINICANA</w:t>
                        </w:r>
                      </w:p>
                    </w:txbxContent>
                  </v:textbox>
                </v:shape>
                <v:group id="Group 31" o:spid="_x0000_s1040" style="position:absolute;width:6127;height:10058" coordsize="6127,10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Shape 32" o:spid="_x0000_s1041" style="position:absolute;top:9810;width:5130;height:248;visibility:visible;mso-wrap-style:square;v-text-anchor:top" coordsize="513080,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" path="m512457,l,,,24256r512457,l512457,xe" fillcolor="#d5b788" stroked="f">
                    <v:path arrowok="t"/>
                  </v:shape>
                  <v:shape id="Picture 36" o:spid="_x0000_s1042" type="#_x0000_t75" alt="Icon&#10;&#10;Description automatically generated" style="position:absolute;width:6127;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">
                    <v:imagedata r:id="rId10" o:title="Icon&#10;&#10;Description automatically generated"/>
                  </v:shape>
                </v:group>
              </v:group>
            </w:pict>
          </mc:Fallback>
        </mc:AlternateContent>
      </w:r>
    </w:p>
    <w:p w14:paraId="4A390ECB" w14:textId="668F0788" w:rsidR="008D7F4E" w:rsidRPr="00074F31" w:rsidRDefault="008D7F4E" w:rsidP="008D7F4E">
      <w:pPr>
        <w:tabs>
          <w:tab w:val="left" w:pos="5229"/>
        </w:tabs>
        <w:rPr>
          <w:lang w:val="es-DO"/>
        </w:rPr>
      </w:pPr>
    </w:p>
    <w:p w14:paraId="09F960FC" w14:textId="101BD005" w:rsidR="008D7F4E" w:rsidRPr="00074F31" w:rsidRDefault="00544419" w:rsidP="008D7F4E">
      <w:pPr>
        <w:tabs>
          <w:tab w:val="left" w:pos="5229"/>
        </w:tabs>
        <w:rPr>
          <w:lang w:val="es-DO"/>
        </w:rPr>
      </w:pPr>
      <w:r w:rsidRPr="00074F31">
        <w:rPr>
          <w:noProof/>
          <w:lang w:val="es-DO" w:eastAsia="es-DO"/>
        </w:rPr>
        <mc:AlternateContent>
          <mc:Choice Requires="wps">
            <w:drawing>
              <wp:anchor distT="45720" distB="45720" distL="114300" distR="114300" simplePos="0" relativeHeight="251717632" behindDoc="1" locked="0" layoutInCell="1" allowOverlap="1" wp14:anchorId="4409BEE1" wp14:editId="5A3D178E">
                <wp:simplePos x="0" y="0"/>
                <wp:positionH relativeFrom="column">
                  <wp:posOffset>3743325</wp:posOffset>
                </wp:positionH>
                <wp:positionV relativeFrom="paragraph">
                  <wp:posOffset>13335</wp:posOffset>
                </wp:positionV>
                <wp:extent cx="2409825" cy="828675"/>
                <wp:effectExtent l="0" t="0" r="9525" b="952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828675"/>
                        </a:xfrm>
                        <a:prstGeom prst="rect">
                          <a:avLst/>
                        </a:prstGeom>
                        <a:solidFill>
                          <a:srgbClr val="FFFFFF"/>
                        </a:solidFill>
                        <a:ln w="9525">
                          <a:noFill/>
                          <a:miter lim="800000"/>
                          <a:headEnd/>
                          <a:tailEnd/>
                        </a:ln>
                      </wps:spPr>
                      <wps:txbx>
                        <w:txbxContent>
                          <w:p w14:paraId="089EA28E" w14:textId="3B38B25C" w:rsidR="0097291D" w:rsidRPr="00032423" w:rsidRDefault="006B5802" w:rsidP="0097291D">
                            <w:pPr>
                              <w:jc w:val="center"/>
                              <w:rPr>
                                <w:color w:val="D8B888"/>
                                <w:lang w:val="es-DO"/>
                              </w:rPr>
                            </w:pPr>
                            <w:r>
                              <w:rPr>
                                <w:b/>
                                <w:bCs/>
                                <w:noProof/>
                              </w:rPr>
                              <w:drawing>
                                <wp:inline distT="0" distB="0" distL="0" distR="0" wp14:anchorId="091F3896" wp14:editId="7BC55556">
                                  <wp:extent cx="1685925" cy="791562"/>
                                  <wp:effectExtent l="0" t="0" r="0" b="8890"/>
                                  <wp:docPr id="1573667424"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20637" name="Imagen 1" descr="Logotip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52530" cy="82283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09BEE1" id="_x0000_s1043" type="#_x0000_t202" style="position:absolute;margin-left:294.75pt;margin-top:1.05pt;width:189.75pt;height:65.25pt;z-index:-251598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" stroked="f">
                <v:textbox>
                  <w:txbxContent>
                    <w:p w14:paraId="089EA28E" w14:textId="3B38B25C" w:rsidR="0097291D" w:rsidRPr="00032423" w:rsidRDefault="006B5802" w:rsidP="0097291D">
                      <w:pPr>
                        <w:jc w:val="center"/>
                        <w:rPr>
                          <w:color w:val="D8B888"/>
                          <w:lang w:val="es-DO"/>
                        </w:rPr>
                      </w:pPr>
                      <w:r>
                        <w:rPr>
                          <w:b/>
                          <w:bCs/>
                          <w:noProof/>
                        </w:rPr>
                        <w:drawing>
                          <wp:inline distT="0" distB="0" distL="0" distR="0" wp14:anchorId="091F3896" wp14:editId="7BC55556">
                            <wp:extent cx="1685925" cy="791562"/>
                            <wp:effectExtent l="0" t="0" r="0" b="8890"/>
                            <wp:docPr id="1573667424" name="Imagen 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20637" name="Imagen 1" descr="Logotipo&#10;&#10;Descripción generada automá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52530" cy="822834"/>
                                    </a:xfrm>
                                    <a:prstGeom prst="rect">
                                      <a:avLst/>
                                    </a:prstGeom>
                                  </pic:spPr>
                                </pic:pic>
                              </a:graphicData>
                            </a:graphic>
                          </wp:inline>
                        </w:drawing>
                      </w:r>
                    </w:p>
                  </w:txbxContent>
                </v:textbox>
              </v:shape>
            </w:pict>
          </mc:Fallback>
        </mc:AlternateContent>
      </w:r>
    </w:p>
    <w:p w14:paraId="70955679" w14:textId="1D2ADAE2" w:rsidR="00E80BF2" w:rsidRPr="00074F31" w:rsidRDefault="00E80BF2" w:rsidP="0034224F">
      <w:pPr>
        <w:tabs>
          <w:tab w:val="left" w:pos="5913"/>
        </w:tabs>
        <w:rPr>
          <w:lang w:val="es-DO"/>
        </w:rPr>
      </w:pPr>
    </w:p>
    <w:p w14:paraId="64AE30BF" w14:textId="515A7E4D" w:rsidR="00E80BF2" w:rsidRPr="00074F31" w:rsidRDefault="00E80BF2">
      <w:pPr>
        <w:rPr>
          <w:sz w:val="22"/>
          <w:szCs w:val="22"/>
          <w:lang w:val="es-DO"/>
        </w:rPr>
      </w:pPr>
    </w:p>
    <w:p w14:paraId="31E2FE32" w14:textId="2317FF3C" w:rsidR="00545797" w:rsidRPr="00310D52" w:rsidRDefault="00545797" w:rsidP="00545797">
      <w:pPr>
        <w:jc w:val="center"/>
        <w:rPr>
          <w:rFonts w:eastAsiaTheme="majorEastAsia"/>
          <w:b/>
          <w:sz w:val="28"/>
          <w:szCs w:val="32"/>
          <w:lang w:val="es-DO"/>
        </w:rPr>
      </w:pPr>
      <w:r w:rsidRPr="00310D52">
        <w:rPr>
          <w:rFonts w:eastAsiaTheme="majorEastAsia"/>
          <w:b/>
          <w:sz w:val="28"/>
          <w:szCs w:val="32"/>
          <w:lang w:val="es-DO"/>
        </w:rPr>
        <w:t>TABLA DE CONTENIDOS</w:t>
      </w:r>
    </w:p>
    <w:p w14:paraId="6C3E8713" w14:textId="043AA35F" w:rsidR="00545797" w:rsidRPr="00310D52" w:rsidRDefault="00545797" w:rsidP="00545797">
      <w:pPr>
        <w:rPr>
          <w:lang w:val="es-DO"/>
        </w:rPr>
      </w:pPr>
      <w:r w:rsidRPr="00310D52">
        <w:rPr>
          <w:noProof/>
          <w:lang w:val="es-DO" w:eastAsia="es-DO"/>
        </w:rPr>
        <mc:AlternateContent>
          <mc:Choice Requires="wps">
            <w:drawing>
              <wp:anchor distT="0" distB="0" distL="114300" distR="114300" simplePos="0" relativeHeight="251673600" behindDoc="0" locked="0" layoutInCell="1" allowOverlap="1" wp14:anchorId="1E07F231" wp14:editId="2F86A63E">
                <wp:simplePos x="0" y="0"/>
                <wp:positionH relativeFrom="margin">
                  <wp:posOffset>2743835</wp:posOffset>
                </wp:positionH>
                <wp:positionV relativeFrom="paragraph">
                  <wp:posOffset>87127</wp:posOffset>
                </wp:positionV>
                <wp:extent cx="463550" cy="0"/>
                <wp:effectExtent l="22860" t="15875" r="18415" b="22225"/>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05F5D6" id="Straight Connector 18" o:spid="_x0000_s1026" style="position:absolute;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16.05pt,6.85pt" to="252.5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" strokecolor="#ee2a24" strokeweight="2.25pt">
                <v:stroke joinstyle="miter"/>
                <w10:wrap anchorx="margin"/>
              </v:line>
            </w:pict>
          </mc:Fallback>
        </mc:AlternateContent>
      </w:r>
    </w:p>
    <w:p w14:paraId="35D0C59C" w14:textId="547E3558" w:rsidR="00545797" w:rsidRPr="00310D52" w:rsidRDefault="00654164" w:rsidP="00545797">
      <w:pPr>
        <w:jc w:val="center"/>
        <w:rPr>
          <w:lang w:val="es-DO"/>
        </w:rPr>
      </w:pPr>
      <w:r w:rsidRPr="00310D52">
        <w:rPr>
          <w:lang w:val="es-DO"/>
        </w:rPr>
        <w:t xml:space="preserve">Memoria </w:t>
      </w:r>
      <w:r w:rsidR="004A515E" w:rsidRPr="00310D52">
        <w:rPr>
          <w:lang w:val="es-DO"/>
        </w:rPr>
        <w:t>I</w:t>
      </w:r>
      <w:r w:rsidRPr="00310D52">
        <w:rPr>
          <w:lang w:val="es-DO"/>
        </w:rPr>
        <w:t>nstitucional</w:t>
      </w:r>
      <w:r w:rsidR="00545797" w:rsidRPr="00310D52">
        <w:rPr>
          <w:lang w:val="es-DO"/>
        </w:rPr>
        <w:t xml:space="preserve"> </w:t>
      </w:r>
      <w:r w:rsidR="007471AC" w:rsidRPr="00310D52">
        <w:rPr>
          <w:lang w:val="es-DO"/>
        </w:rPr>
        <w:t>202</w:t>
      </w:r>
      <w:r w:rsidR="0051332F" w:rsidRPr="00310D52">
        <w:rPr>
          <w:lang w:val="es-DO"/>
        </w:rPr>
        <w:t>5</w:t>
      </w:r>
    </w:p>
    <w:p w14:paraId="2539C61E" w14:textId="77777777" w:rsidR="00545797" w:rsidRPr="00310D52" w:rsidRDefault="00545797" w:rsidP="00545797">
      <w:pPr>
        <w:rPr>
          <w:lang w:val="es-DO"/>
        </w:rPr>
      </w:pPr>
    </w:p>
    <w:p w14:paraId="34723B93" w14:textId="77777777" w:rsidR="00545797" w:rsidRPr="00310D52" w:rsidRDefault="00545797" w:rsidP="00545797">
      <w:pPr>
        <w:rPr>
          <w:lang w:val="es-DO"/>
        </w:rPr>
      </w:pPr>
    </w:p>
    <w:sdt>
      <w:sdtPr>
        <w:rPr>
          <w:rFonts w:ascii="Times New Roman" w:eastAsiaTheme="minorHAnsi" w:hAnsi="Times New Roman" w:cs="Times New Roman"/>
          <w:color w:val="767171"/>
          <w:sz w:val="24"/>
          <w:szCs w:val="24"/>
        </w:rPr>
        <w:id w:val="-1111128147"/>
        <w:docPartObj>
          <w:docPartGallery w:val="Table of Contents"/>
          <w:docPartUnique/>
        </w:docPartObj>
      </w:sdtPr>
      <w:sdtEndPr>
        <w:rPr>
          <w:b/>
          <w:bCs/>
          <w:noProof/>
        </w:rPr>
      </w:sdtEndPr>
      <w:sdtContent>
        <w:p w14:paraId="13CA098D" w14:textId="2CC93254" w:rsidR="00A630BC" w:rsidRPr="00310D52" w:rsidRDefault="00A630BC">
          <w:pPr>
            <w:pStyle w:val="TtuloTDC"/>
            <w:rPr>
              <w:rFonts w:ascii="Times New Roman" w:hAnsi="Times New Roman" w:cs="Times New Roman"/>
              <w:color w:val="767171"/>
            </w:rPr>
          </w:pPr>
        </w:p>
        <w:p w14:paraId="56637057" w14:textId="3A1D219D" w:rsidR="00D0435C" w:rsidRDefault="00A630BC">
          <w:pPr>
            <w:pStyle w:val="TDC1"/>
            <w:tabs>
              <w:tab w:val="left" w:pos="480"/>
              <w:tab w:val="right" w:leader="dot" w:pos="9350"/>
            </w:tabs>
            <w:rPr>
              <w:rFonts w:asciiTheme="minorHAnsi" w:eastAsiaTheme="minorEastAsia" w:hAnsiTheme="minorHAnsi" w:cstheme="minorBidi"/>
              <w:noProof/>
              <w:color w:val="auto"/>
              <w:spacing w:val="0"/>
              <w:kern w:val="2"/>
              <w14:ligatures w14:val="standardContextual"/>
            </w:rPr>
          </w:pPr>
          <w:r w:rsidRPr="00310D52">
            <w:fldChar w:fldCharType="begin"/>
          </w:r>
          <w:r w:rsidRPr="00310D52">
            <w:instrText xml:space="preserve"> TOC \o "1-3" \h \z \u </w:instrText>
          </w:r>
          <w:r w:rsidRPr="00310D52">
            <w:fldChar w:fldCharType="separate"/>
          </w:r>
          <w:hyperlink w:anchor="_Toc217050873" w:history="1">
            <w:r w:rsidR="00D0435C" w:rsidRPr="003E0B6B">
              <w:rPr>
                <w:rStyle w:val="Hipervnculo"/>
                <w:noProof/>
                <w:lang w:val="es-DO"/>
              </w:rPr>
              <w:t>I.</w:t>
            </w:r>
            <w:r w:rsidR="00D0435C">
              <w:rPr>
                <w:rFonts w:asciiTheme="minorHAnsi" w:eastAsiaTheme="minorEastAsia" w:hAnsiTheme="minorHAnsi" w:cstheme="minorBidi"/>
                <w:noProof/>
                <w:color w:val="auto"/>
                <w:spacing w:val="0"/>
                <w:kern w:val="2"/>
                <w14:ligatures w14:val="standardContextual"/>
              </w:rPr>
              <w:tab/>
            </w:r>
            <w:r w:rsidR="00D0435C" w:rsidRPr="003E0B6B">
              <w:rPr>
                <w:rStyle w:val="Hipervnculo"/>
                <w:noProof/>
                <w:lang w:val="es-DO"/>
              </w:rPr>
              <w:t>RESUMEN EJECUTIVO</w:t>
            </w:r>
            <w:r w:rsidR="00D0435C">
              <w:rPr>
                <w:noProof/>
                <w:webHidden/>
              </w:rPr>
              <w:tab/>
            </w:r>
            <w:r w:rsidR="00D0435C">
              <w:rPr>
                <w:noProof/>
                <w:webHidden/>
              </w:rPr>
              <w:fldChar w:fldCharType="begin"/>
            </w:r>
            <w:r w:rsidR="00D0435C">
              <w:rPr>
                <w:noProof/>
                <w:webHidden/>
              </w:rPr>
              <w:instrText xml:space="preserve"> PAGEREF _Toc217050873 \h </w:instrText>
            </w:r>
            <w:r w:rsidR="00D0435C">
              <w:rPr>
                <w:noProof/>
                <w:webHidden/>
              </w:rPr>
            </w:r>
            <w:r w:rsidR="00D0435C">
              <w:rPr>
                <w:noProof/>
                <w:webHidden/>
              </w:rPr>
              <w:fldChar w:fldCharType="separate"/>
            </w:r>
            <w:r w:rsidR="00D0435C">
              <w:rPr>
                <w:noProof/>
                <w:webHidden/>
              </w:rPr>
              <w:t>1</w:t>
            </w:r>
            <w:r w:rsidR="00D0435C">
              <w:rPr>
                <w:noProof/>
                <w:webHidden/>
              </w:rPr>
              <w:fldChar w:fldCharType="end"/>
            </w:r>
          </w:hyperlink>
        </w:p>
        <w:p w14:paraId="3FD99F6F" w14:textId="1EF82B04"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4" w:history="1">
            <w:r w:rsidRPr="003E0B6B">
              <w:rPr>
                <w:rStyle w:val="Hipervnculo"/>
                <w:noProof/>
                <w:lang w:val="es-DO"/>
              </w:rPr>
              <w:t>II.</w:t>
            </w:r>
            <w:r>
              <w:rPr>
                <w:rFonts w:asciiTheme="minorHAnsi" w:eastAsiaTheme="minorEastAsia" w:hAnsiTheme="minorHAnsi" w:cstheme="minorBidi"/>
                <w:noProof/>
                <w:color w:val="auto"/>
                <w:spacing w:val="0"/>
                <w:kern w:val="2"/>
                <w14:ligatures w14:val="standardContextual"/>
              </w:rPr>
              <w:tab/>
            </w:r>
            <w:r w:rsidRPr="003E0B6B">
              <w:rPr>
                <w:rStyle w:val="Hipervnculo"/>
                <w:noProof/>
                <w:lang w:val="es-DO"/>
              </w:rPr>
              <w:t>INFORMACIÓN INSTITUCIONAL</w:t>
            </w:r>
            <w:r>
              <w:rPr>
                <w:noProof/>
                <w:webHidden/>
              </w:rPr>
              <w:tab/>
            </w:r>
            <w:r>
              <w:rPr>
                <w:noProof/>
                <w:webHidden/>
              </w:rPr>
              <w:fldChar w:fldCharType="begin"/>
            </w:r>
            <w:r>
              <w:rPr>
                <w:noProof/>
                <w:webHidden/>
              </w:rPr>
              <w:instrText xml:space="preserve"> PAGEREF _Toc217050874 \h </w:instrText>
            </w:r>
            <w:r>
              <w:rPr>
                <w:noProof/>
                <w:webHidden/>
              </w:rPr>
            </w:r>
            <w:r>
              <w:rPr>
                <w:noProof/>
                <w:webHidden/>
              </w:rPr>
              <w:fldChar w:fldCharType="separate"/>
            </w:r>
            <w:r>
              <w:rPr>
                <w:noProof/>
                <w:webHidden/>
              </w:rPr>
              <w:t>8</w:t>
            </w:r>
            <w:r>
              <w:rPr>
                <w:noProof/>
                <w:webHidden/>
              </w:rPr>
              <w:fldChar w:fldCharType="end"/>
            </w:r>
          </w:hyperlink>
        </w:p>
        <w:p w14:paraId="1AC63965" w14:textId="06A3929A"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5" w:history="1">
            <w:r w:rsidRPr="003E0B6B">
              <w:rPr>
                <w:rStyle w:val="Hipervnculo"/>
                <w:rFonts w:eastAsiaTheme="majorEastAsia"/>
                <w:b/>
                <w:noProof/>
                <w:lang w:val="es-DO"/>
              </w:rPr>
              <w:t>2.1</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Marco Filosófico Institucional</w:t>
            </w:r>
            <w:r>
              <w:rPr>
                <w:noProof/>
                <w:webHidden/>
              </w:rPr>
              <w:tab/>
            </w:r>
            <w:r>
              <w:rPr>
                <w:noProof/>
                <w:webHidden/>
              </w:rPr>
              <w:fldChar w:fldCharType="begin"/>
            </w:r>
            <w:r>
              <w:rPr>
                <w:noProof/>
                <w:webHidden/>
              </w:rPr>
              <w:instrText xml:space="preserve"> PAGEREF _Toc217050875 \h </w:instrText>
            </w:r>
            <w:r>
              <w:rPr>
                <w:noProof/>
                <w:webHidden/>
              </w:rPr>
            </w:r>
            <w:r>
              <w:rPr>
                <w:noProof/>
                <w:webHidden/>
              </w:rPr>
              <w:fldChar w:fldCharType="separate"/>
            </w:r>
            <w:r>
              <w:rPr>
                <w:noProof/>
                <w:webHidden/>
              </w:rPr>
              <w:t>8</w:t>
            </w:r>
            <w:r>
              <w:rPr>
                <w:noProof/>
                <w:webHidden/>
              </w:rPr>
              <w:fldChar w:fldCharType="end"/>
            </w:r>
          </w:hyperlink>
        </w:p>
        <w:p w14:paraId="4194A9E3" w14:textId="2D4874A2"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6" w:history="1">
            <w:r w:rsidRPr="003E0B6B">
              <w:rPr>
                <w:rStyle w:val="Hipervnculo"/>
                <w:rFonts w:eastAsiaTheme="majorEastAsia"/>
                <w:b/>
                <w:noProof/>
                <w:lang w:val="es-DO"/>
              </w:rPr>
              <w:t>2.2</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Base Legal</w:t>
            </w:r>
            <w:r>
              <w:rPr>
                <w:noProof/>
                <w:webHidden/>
              </w:rPr>
              <w:tab/>
            </w:r>
            <w:r>
              <w:rPr>
                <w:noProof/>
                <w:webHidden/>
              </w:rPr>
              <w:fldChar w:fldCharType="begin"/>
            </w:r>
            <w:r>
              <w:rPr>
                <w:noProof/>
                <w:webHidden/>
              </w:rPr>
              <w:instrText xml:space="preserve"> PAGEREF _Toc217050876 \h </w:instrText>
            </w:r>
            <w:r>
              <w:rPr>
                <w:noProof/>
                <w:webHidden/>
              </w:rPr>
            </w:r>
            <w:r>
              <w:rPr>
                <w:noProof/>
                <w:webHidden/>
              </w:rPr>
              <w:fldChar w:fldCharType="separate"/>
            </w:r>
            <w:r>
              <w:rPr>
                <w:noProof/>
                <w:webHidden/>
              </w:rPr>
              <w:t>10</w:t>
            </w:r>
            <w:r>
              <w:rPr>
                <w:noProof/>
                <w:webHidden/>
              </w:rPr>
              <w:fldChar w:fldCharType="end"/>
            </w:r>
          </w:hyperlink>
        </w:p>
        <w:p w14:paraId="7F464D44" w14:textId="0F78682B"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7" w:history="1">
            <w:r w:rsidRPr="003E0B6B">
              <w:rPr>
                <w:rStyle w:val="Hipervnculo"/>
                <w:rFonts w:eastAsiaTheme="majorEastAsia"/>
                <w:b/>
                <w:noProof/>
                <w:lang w:val="es-DO"/>
              </w:rPr>
              <w:t>2.3</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Estructura organizativa</w:t>
            </w:r>
            <w:r>
              <w:rPr>
                <w:noProof/>
                <w:webHidden/>
              </w:rPr>
              <w:tab/>
            </w:r>
            <w:r>
              <w:rPr>
                <w:noProof/>
                <w:webHidden/>
              </w:rPr>
              <w:fldChar w:fldCharType="begin"/>
            </w:r>
            <w:r>
              <w:rPr>
                <w:noProof/>
                <w:webHidden/>
              </w:rPr>
              <w:instrText xml:space="preserve"> PAGEREF _Toc217050877 \h </w:instrText>
            </w:r>
            <w:r>
              <w:rPr>
                <w:noProof/>
                <w:webHidden/>
              </w:rPr>
            </w:r>
            <w:r>
              <w:rPr>
                <w:noProof/>
                <w:webHidden/>
              </w:rPr>
              <w:fldChar w:fldCharType="separate"/>
            </w:r>
            <w:r>
              <w:rPr>
                <w:noProof/>
                <w:webHidden/>
              </w:rPr>
              <w:t>11</w:t>
            </w:r>
            <w:r>
              <w:rPr>
                <w:noProof/>
                <w:webHidden/>
              </w:rPr>
              <w:fldChar w:fldCharType="end"/>
            </w:r>
          </w:hyperlink>
        </w:p>
        <w:p w14:paraId="470F27CF" w14:textId="6D2A8EDA"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8" w:history="1">
            <w:r w:rsidRPr="003E0B6B">
              <w:rPr>
                <w:rStyle w:val="Hipervnculo"/>
                <w:rFonts w:eastAsiaTheme="majorEastAsia"/>
                <w:b/>
                <w:noProof/>
                <w:lang w:val="es-DO"/>
              </w:rPr>
              <w:t>2.4</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Planificación estratégica institucional</w:t>
            </w:r>
            <w:r>
              <w:rPr>
                <w:noProof/>
                <w:webHidden/>
              </w:rPr>
              <w:tab/>
            </w:r>
            <w:r>
              <w:rPr>
                <w:noProof/>
                <w:webHidden/>
              </w:rPr>
              <w:fldChar w:fldCharType="begin"/>
            </w:r>
            <w:r>
              <w:rPr>
                <w:noProof/>
                <w:webHidden/>
              </w:rPr>
              <w:instrText xml:space="preserve"> PAGEREF _Toc217050878 \h </w:instrText>
            </w:r>
            <w:r>
              <w:rPr>
                <w:noProof/>
                <w:webHidden/>
              </w:rPr>
            </w:r>
            <w:r>
              <w:rPr>
                <w:noProof/>
                <w:webHidden/>
              </w:rPr>
              <w:fldChar w:fldCharType="separate"/>
            </w:r>
            <w:r>
              <w:rPr>
                <w:noProof/>
                <w:webHidden/>
              </w:rPr>
              <w:t>13</w:t>
            </w:r>
            <w:r>
              <w:rPr>
                <w:noProof/>
                <w:webHidden/>
              </w:rPr>
              <w:fldChar w:fldCharType="end"/>
            </w:r>
          </w:hyperlink>
        </w:p>
        <w:p w14:paraId="2B76FEA7" w14:textId="53498F57"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79" w:history="1">
            <w:r w:rsidRPr="003E0B6B">
              <w:rPr>
                <w:rStyle w:val="Hipervnculo"/>
                <w:noProof/>
                <w:lang w:val="es-DO"/>
              </w:rPr>
              <w:t>III.</w:t>
            </w:r>
            <w:r>
              <w:rPr>
                <w:rFonts w:asciiTheme="minorHAnsi" w:eastAsiaTheme="minorEastAsia" w:hAnsiTheme="minorHAnsi" w:cstheme="minorBidi"/>
                <w:noProof/>
                <w:color w:val="auto"/>
                <w:spacing w:val="0"/>
                <w:kern w:val="2"/>
                <w14:ligatures w14:val="standardContextual"/>
              </w:rPr>
              <w:tab/>
            </w:r>
            <w:r w:rsidRPr="003E0B6B">
              <w:rPr>
                <w:rStyle w:val="Hipervnculo"/>
                <w:noProof/>
                <w:lang w:val="es-DO"/>
              </w:rPr>
              <w:t>RESULTADOS MISIONALES</w:t>
            </w:r>
            <w:r>
              <w:rPr>
                <w:noProof/>
                <w:webHidden/>
              </w:rPr>
              <w:tab/>
            </w:r>
            <w:r>
              <w:rPr>
                <w:noProof/>
                <w:webHidden/>
              </w:rPr>
              <w:fldChar w:fldCharType="begin"/>
            </w:r>
            <w:r>
              <w:rPr>
                <w:noProof/>
                <w:webHidden/>
              </w:rPr>
              <w:instrText xml:space="preserve"> PAGEREF _Toc217050879 \h </w:instrText>
            </w:r>
            <w:r>
              <w:rPr>
                <w:noProof/>
                <w:webHidden/>
              </w:rPr>
            </w:r>
            <w:r>
              <w:rPr>
                <w:noProof/>
                <w:webHidden/>
              </w:rPr>
              <w:fldChar w:fldCharType="separate"/>
            </w:r>
            <w:r>
              <w:rPr>
                <w:noProof/>
                <w:webHidden/>
              </w:rPr>
              <w:t>15</w:t>
            </w:r>
            <w:r>
              <w:rPr>
                <w:noProof/>
                <w:webHidden/>
              </w:rPr>
              <w:fldChar w:fldCharType="end"/>
            </w:r>
          </w:hyperlink>
        </w:p>
        <w:p w14:paraId="0F1406F7" w14:textId="2DF09795"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0" w:history="1">
            <w:r w:rsidRPr="003E0B6B">
              <w:rPr>
                <w:rStyle w:val="Hipervnculo"/>
                <w:rFonts w:eastAsiaTheme="majorEastAsia"/>
                <w:b/>
                <w:noProof/>
                <w:lang w:val="es-DO"/>
              </w:rPr>
              <w:t>3.1</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Reducción Tiempos de Respuesta</w:t>
            </w:r>
            <w:r>
              <w:rPr>
                <w:noProof/>
                <w:webHidden/>
              </w:rPr>
              <w:tab/>
            </w:r>
            <w:r>
              <w:rPr>
                <w:noProof/>
                <w:webHidden/>
              </w:rPr>
              <w:fldChar w:fldCharType="begin"/>
            </w:r>
            <w:r>
              <w:rPr>
                <w:noProof/>
                <w:webHidden/>
              </w:rPr>
              <w:instrText xml:space="preserve"> PAGEREF _Toc217050880 \h </w:instrText>
            </w:r>
            <w:r>
              <w:rPr>
                <w:noProof/>
                <w:webHidden/>
              </w:rPr>
            </w:r>
            <w:r>
              <w:rPr>
                <w:noProof/>
                <w:webHidden/>
              </w:rPr>
              <w:fldChar w:fldCharType="separate"/>
            </w:r>
            <w:r>
              <w:rPr>
                <w:noProof/>
                <w:webHidden/>
              </w:rPr>
              <w:t>15</w:t>
            </w:r>
            <w:r>
              <w:rPr>
                <w:noProof/>
                <w:webHidden/>
              </w:rPr>
              <w:fldChar w:fldCharType="end"/>
            </w:r>
          </w:hyperlink>
        </w:p>
        <w:p w14:paraId="0E5BF159" w14:textId="064BAED6"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1" w:history="1">
            <w:r w:rsidRPr="003E0B6B">
              <w:rPr>
                <w:rStyle w:val="Hipervnculo"/>
                <w:rFonts w:eastAsiaTheme="majorEastAsia"/>
                <w:b/>
                <w:noProof/>
                <w:lang w:val="es-DO"/>
              </w:rPr>
              <w:t>3.2</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Atenciones Prehospitalarias</w:t>
            </w:r>
            <w:r>
              <w:rPr>
                <w:noProof/>
                <w:webHidden/>
              </w:rPr>
              <w:tab/>
            </w:r>
            <w:r>
              <w:rPr>
                <w:noProof/>
                <w:webHidden/>
              </w:rPr>
              <w:fldChar w:fldCharType="begin"/>
            </w:r>
            <w:r>
              <w:rPr>
                <w:noProof/>
                <w:webHidden/>
              </w:rPr>
              <w:instrText xml:space="preserve"> PAGEREF _Toc217050881 \h </w:instrText>
            </w:r>
            <w:r>
              <w:rPr>
                <w:noProof/>
                <w:webHidden/>
              </w:rPr>
            </w:r>
            <w:r>
              <w:rPr>
                <w:noProof/>
                <w:webHidden/>
              </w:rPr>
              <w:fldChar w:fldCharType="separate"/>
            </w:r>
            <w:r>
              <w:rPr>
                <w:noProof/>
                <w:webHidden/>
              </w:rPr>
              <w:t>15</w:t>
            </w:r>
            <w:r>
              <w:rPr>
                <w:noProof/>
                <w:webHidden/>
              </w:rPr>
              <w:fldChar w:fldCharType="end"/>
            </w:r>
          </w:hyperlink>
        </w:p>
        <w:p w14:paraId="78469EF9" w14:textId="4116EBEB"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2" w:history="1">
            <w:r w:rsidRPr="003E0B6B">
              <w:rPr>
                <w:rStyle w:val="Hipervnculo"/>
                <w:rFonts w:eastAsiaTheme="majorEastAsia"/>
                <w:b/>
                <w:noProof/>
                <w:lang w:val="es-DO"/>
              </w:rPr>
              <w:t>3.3</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Atenciones Interhospitalarias</w:t>
            </w:r>
            <w:r>
              <w:rPr>
                <w:noProof/>
                <w:webHidden/>
              </w:rPr>
              <w:tab/>
            </w:r>
            <w:r>
              <w:rPr>
                <w:noProof/>
                <w:webHidden/>
              </w:rPr>
              <w:fldChar w:fldCharType="begin"/>
            </w:r>
            <w:r>
              <w:rPr>
                <w:noProof/>
                <w:webHidden/>
              </w:rPr>
              <w:instrText xml:space="preserve"> PAGEREF _Toc217050882 \h </w:instrText>
            </w:r>
            <w:r>
              <w:rPr>
                <w:noProof/>
                <w:webHidden/>
              </w:rPr>
            </w:r>
            <w:r>
              <w:rPr>
                <w:noProof/>
                <w:webHidden/>
              </w:rPr>
              <w:fldChar w:fldCharType="separate"/>
            </w:r>
            <w:r>
              <w:rPr>
                <w:noProof/>
                <w:webHidden/>
              </w:rPr>
              <w:t>17</w:t>
            </w:r>
            <w:r>
              <w:rPr>
                <w:noProof/>
                <w:webHidden/>
              </w:rPr>
              <w:fldChar w:fldCharType="end"/>
            </w:r>
          </w:hyperlink>
        </w:p>
        <w:p w14:paraId="484DA6C6" w14:textId="7711E5E5"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3" w:history="1">
            <w:r w:rsidRPr="003E0B6B">
              <w:rPr>
                <w:rStyle w:val="Hipervnculo"/>
                <w:rFonts w:eastAsiaTheme="majorEastAsia"/>
                <w:b/>
                <w:noProof/>
                <w:lang w:val="es-DO"/>
              </w:rPr>
              <w:t>3.4</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Aumento de la Capacidad de Respuesta</w:t>
            </w:r>
            <w:r>
              <w:rPr>
                <w:noProof/>
                <w:webHidden/>
              </w:rPr>
              <w:tab/>
            </w:r>
            <w:r>
              <w:rPr>
                <w:noProof/>
                <w:webHidden/>
              </w:rPr>
              <w:fldChar w:fldCharType="begin"/>
            </w:r>
            <w:r>
              <w:rPr>
                <w:noProof/>
                <w:webHidden/>
              </w:rPr>
              <w:instrText xml:space="preserve"> PAGEREF _Toc217050883 \h </w:instrText>
            </w:r>
            <w:r>
              <w:rPr>
                <w:noProof/>
                <w:webHidden/>
              </w:rPr>
            </w:r>
            <w:r>
              <w:rPr>
                <w:noProof/>
                <w:webHidden/>
              </w:rPr>
              <w:fldChar w:fldCharType="separate"/>
            </w:r>
            <w:r>
              <w:rPr>
                <w:noProof/>
                <w:webHidden/>
              </w:rPr>
              <w:t>18</w:t>
            </w:r>
            <w:r>
              <w:rPr>
                <w:noProof/>
                <w:webHidden/>
              </w:rPr>
              <w:fldChar w:fldCharType="end"/>
            </w:r>
          </w:hyperlink>
        </w:p>
        <w:p w14:paraId="6603DE8E" w14:textId="0DAA02E0"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4" w:history="1">
            <w:r w:rsidRPr="003E0B6B">
              <w:rPr>
                <w:rStyle w:val="Hipervnculo"/>
                <w:rFonts w:eastAsiaTheme="majorEastAsia"/>
                <w:b/>
                <w:noProof/>
                <w:lang w:val="es-DO"/>
              </w:rPr>
              <w:t>3.5</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Expansión de la cobertura territorial.</w:t>
            </w:r>
            <w:r>
              <w:rPr>
                <w:noProof/>
                <w:webHidden/>
              </w:rPr>
              <w:tab/>
            </w:r>
            <w:r>
              <w:rPr>
                <w:noProof/>
                <w:webHidden/>
              </w:rPr>
              <w:fldChar w:fldCharType="begin"/>
            </w:r>
            <w:r>
              <w:rPr>
                <w:noProof/>
                <w:webHidden/>
              </w:rPr>
              <w:instrText xml:space="preserve"> PAGEREF _Toc217050884 \h </w:instrText>
            </w:r>
            <w:r>
              <w:rPr>
                <w:noProof/>
                <w:webHidden/>
              </w:rPr>
            </w:r>
            <w:r>
              <w:rPr>
                <w:noProof/>
                <w:webHidden/>
              </w:rPr>
              <w:fldChar w:fldCharType="separate"/>
            </w:r>
            <w:r>
              <w:rPr>
                <w:noProof/>
                <w:webHidden/>
              </w:rPr>
              <w:t>21</w:t>
            </w:r>
            <w:r>
              <w:rPr>
                <w:noProof/>
                <w:webHidden/>
              </w:rPr>
              <w:fldChar w:fldCharType="end"/>
            </w:r>
          </w:hyperlink>
        </w:p>
        <w:p w14:paraId="3D7DEB9E" w14:textId="15DB996E"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5" w:history="1">
            <w:r w:rsidRPr="003E0B6B">
              <w:rPr>
                <w:rStyle w:val="Hipervnculo"/>
                <w:rFonts w:eastAsiaTheme="majorEastAsia"/>
                <w:b/>
                <w:noProof/>
                <w:lang w:val="es-DO"/>
              </w:rPr>
              <w:t>3.6</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Gestión del Riesgo y Respuesta ante Desastres</w:t>
            </w:r>
            <w:r>
              <w:rPr>
                <w:noProof/>
                <w:webHidden/>
              </w:rPr>
              <w:tab/>
            </w:r>
            <w:r>
              <w:rPr>
                <w:noProof/>
                <w:webHidden/>
              </w:rPr>
              <w:fldChar w:fldCharType="begin"/>
            </w:r>
            <w:r>
              <w:rPr>
                <w:noProof/>
                <w:webHidden/>
              </w:rPr>
              <w:instrText xml:space="preserve"> PAGEREF _Toc217050885 \h </w:instrText>
            </w:r>
            <w:r>
              <w:rPr>
                <w:noProof/>
                <w:webHidden/>
              </w:rPr>
            </w:r>
            <w:r>
              <w:rPr>
                <w:noProof/>
                <w:webHidden/>
              </w:rPr>
              <w:fldChar w:fldCharType="separate"/>
            </w:r>
            <w:r>
              <w:rPr>
                <w:noProof/>
                <w:webHidden/>
              </w:rPr>
              <w:t>21</w:t>
            </w:r>
            <w:r>
              <w:rPr>
                <w:noProof/>
                <w:webHidden/>
              </w:rPr>
              <w:fldChar w:fldCharType="end"/>
            </w:r>
          </w:hyperlink>
        </w:p>
        <w:p w14:paraId="22C4D3CF" w14:textId="3AE964A9"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6" w:history="1">
            <w:r w:rsidRPr="003E0B6B">
              <w:rPr>
                <w:rStyle w:val="Hipervnculo"/>
                <w:rFonts w:eastAsiaTheme="majorEastAsia"/>
                <w:b/>
                <w:noProof/>
                <w:lang w:val="es-DO"/>
              </w:rPr>
              <w:t>3.7</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Entrenamientos Técnicos</w:t>
            </w:r>
            <w:r>
              <w:rPr>
                <w:noProof/>
                <w:webHidden/>
              </w:rPr>
              <w:tab/>
            </w:r>
            <w:r>
              <w:rPr>
                <w:noProof/>
                <w:webHidden/>
              </w:rPr>
              <w:fldChar w:fldCharType="begin"/>
            </w:r>
            <w:r>
              <w:rPr>
                <w:noProof/>
                <w:webHidden/>
              </w:rPr>
              <w:instrText xml:space="preserve"> PAGEREF _Toc217050886 \h </w:instrText>
            </w:r>
            <w:r>
              <w:rPr>
                <w:noProof/>
                <w:webHidden/>
              </w:rPr>
            </w:r>
            <w:r>
              <w:rPr>
                <w:noProof/>
                <w:webHidden/>
              </w:rPr>
              <w:fldChar w:fldCharType="separate"/>
            </w:r>
            <w:r>
              <w:rPr>
                <w:noProof/>
                <w:webHidden/>
              </w:rPr>
              <w:t>22</w:t>
            </w:r>
            <w:r>
              <w:rPr>
                <w:noProof/>
                <w:webHidden/>
              </w:rPr>
              <w:fldChar w:fldCharType="end"/>
            </w:r>
          </w:hyperlink>
        </w:p>
        <w:p w14:paraId="73FE63A5" w14:textId="4E5110FF"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7" w:history="1">
            <w:r w:rsidRPr="003E0B6B">
              <w:rPr>
                <w:rStyle w:val="Hipervnculo"/>
                <w:rFonts w:eastAsiaTheme="majorEastAsia"/>
                <w:b/>
                <w:noProof/>
                <w:lang w:val="es-DO"/>
              </w:rPr>
              <w:t>3.8</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Coordinación y Enlace con la Red Pública de Salud</w:t>
            </w:r>
            <w:r>
              <w:rPr>
                <w:noProof/>
                <w:webHidden/>
              </w:rPr>
              <w:tab/>
            </w:r>
            <w:r>
              <w:rPr>
                <w:noProof/>
                <w:webHidden/>
              </w:rPr>
              <w:fldChar w:fldCharType="begin"/>
            </w:r>
            <w:r>
              <w:rPr>
                <w:noProof/>
                <w:webHidden/>
              </w:rPr>
              <w:instrText xml:space="preserve"> PAGEREF _Toc217050887 \h </w:instrText>
            </w:r>
            <w:r>
              <w:rPr>
                <w:noProof/>
                <w:webHidden/>
              </w:rPr>
            </w:r>
            <w:r>
              <w:rPr>
                <w:noProof/>
                <w:webHidden/>
              </w:rPr>
              <w:fldChar w:fldCharType="separate"/>
            </w:r>
            <w:r>
              <w:rPr>
                <w:noProof/>
                <w:webHidden/>
              </w:rPr>
              <w:t>24</w:t>
            </w:r>
            <w:r>
              <w:rPr>
                <w:noProof/>
                <w:webHidden/>
              </w:rPr>
              <w:fldChar w:fldCharType="end"/>
            </w:r>
          </w:hyperlink>
        </w:p>
        <w:p w14:paraId="01419AAB" w14:textId="560EAAAD"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8" w:history="1">
            <w:r w:rsidRPr="003E0B6B">
              <w:rPr>
                <w:rStyle w:val="Hipervnculo"/>
                <w:noProof/>
                <w:lang w:val="es-DO"/>
              </w:rPr>
              <w:t>IV.</w:t>
            </w:r>
            <w:r>
              <w:rPr>
                <w:rFonts w:asciiTheme="minorHAnsi" w:eastAsiaTheme="minorEastAsia" w:hAnsiTheme="minorHAnsi" w:cstheme="minorBidi"/>
                <w:noProof/>
                <w:color w:val="auto"/>
                <w:spacing w:val="0"/>
                <w:kern w:val="2"/>
                <w14:ligatures w14:val="standardContextual"/>
              </w:rPr>
              <w:tab/>
            </w:r>
            <w:r w:rsidRPr="003E0B6B">
              <w:rPr>
                <w:rStyle w:val="Hipervnculo"/>
                <w:noProof/>
                <w:lang w:val="es-DO"/>
              </w:rPr>
              <w:t>RESULTADOS DE LAS ÁREAS TRANSVERSALES Y DE APOYO</w:t>
            </w:r>
            <w:r>
              <w:rPr>
                <w:noProof/>
                <w:webHidden/>
              </w:rPr>
              <w:tab/>
            </w:r>
            <w:r>
              <w:rPr>
                <w:noProof/>
                <w:webHidden/>
              </w:rPr>
              <w:fldChar w:fldCharType="begin"/>
            </w:r>
            <w:r>
              <w:rPr>
                <w:noProof/>
                <w:webHidden/>
              </w:rPr>
              <w:instrText xml:space="preserve"> PAGEREF _Toc217050888 \h </w:instrText>
            </w:r>
            <w:r>
              <w:rPr>
                <w:noProof/>
                <w:webHidden/>
              </w:rPr>
            </w:r>
            <w:r>
              <w:rPr>
                <w:noProof/>
                <w:webHidden/>
              </w:rPr>
              <w:fldChar w:fldCharType="separate"/>
            </w:r>
            <w:r>
              <w:rPr>
                <w:noProof/>
                <w:webHidden/>
              </w:rPr>
              <w:t>26</w:t>
            </w:r>
            <w:r>
              <w:rPr>
                <w:noProof/>
                <w:webHidden/>
              </w:rPr>
              <w:fldChar w:fldCharType="end"/>
            </w:r>
          </w:hyperlink>
        </w:p>
        <w:p w14:paraId="4CD750FC" w14:textId="73C383D3"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89" w:history="1">
            <w:r w:rsidRPr="003E0B6B">
              <w:rPr>
                <w:rStyle w:val="Hipervnculo"/>
                <w:rFonts w:eastAsiaTheme="majorEastAsia"/>
                <w:b/>
                <w:noProof/>
                <w:lang w:val="es-DO"/>
              </w:rPr>
              <w:t>4.1</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Área Administrativa y Financiera</w:t>
            </w:r>
            <w:r>
              <w:rPr>
                <w:noProof/>
                <w:webHidden/>
              </w:rPr>
              <w:tab/>
            </w:r>
            <w:r>
              <w:rPr>
                <w:noProof/>
                <w:webHidden/>
              </w:rPr>
              <w:fldChar w:fldCharType="begin"/>
            </w:r>
            <w:r>
              <w:rPr>
                <w:noProof/>
                <w:webHidden/>
              </w:rPr>
              <w:instrText xml:space="preserve"> PAGEREF _Toc217050889 \h </w:instrText>
            </w:r>
            <w:r>
              <w:rPr>
                <w:noProof/>
                <w:webHidden/>
              </w:rPr>
            </w:r>
            <w:r>
              <w:rPr>
                <w:noProof/>
                <w:webHidden/>
              </w:rPr>
              <w:fldChar w:fldCharType="separate"/>
            </w:r>
            <w:r>
              <w:rPr>
                <w:noProof/>
                <w:webHidden/>
              </w:rPr>
              <w:t>26</w:t>
            </w:r>
            <w:r>
              <w:rPr>
                <w:noProof/>
                <w:webHidden/>
              </w:rPr>
              <w:fldChar w:fldCharType="end"/>
            </w:r>
          </w:hyperlink>
        </w:p>
        <w:p w14:paraId="7B4ABC98" w14:textId="100AA72C"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0" w:history="1">
            <w:r w:rsidRPr="003E0B6B">
              <w:rPr>
                <w:rStyle w:val="Hipervnculo"/>
                <w:rFonts w:eastAsiaTheme="majorEastAsia"/>
                <w:b/>
                <w:noProof/>
                <w:lang w:val="es-DO"/>
              </w:rPr>
              <w:t>4.2</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de los Recursos Humanos</w:t>
            </w:r>
            <w:r>
              <w:rPr>
                <w:noProof/>
                <w:webHidden/>
              </w:rPr>
              <w:tab/>
            </w:r>
            <w:r>
              <w:rPr>
                <w:noProof/>
                <w:webHidden/>
              </w:rPr>
              <w:fldChar w:fldCharType="begin"/>
            </w:r>
            <w:r>
              <w:rPr>
                <w:noProof/>
                <w:webHidden/>
              </w:rPr>
              <w:instrText xml:space="preserve"> PAGEREF _Toc217050890 \h </w:instrText>
            </w:r>
            <w:r>
              <w:rPr>
                <w:noProof/>
                <w:webHidden/>
              </w:rPr>
            </w:r>
            <w:r>
              <w:rPr>
                <w:noProof/>
                <w:webHidden/>
              </w:rPr>
              <w:fldChar w:fldCharType="separate"/>
            </w:r>
            <w:r>
              <w:rPr>
                <w:noProof/>
                <w:webHidden/>
              </w:rPr>
              <w:t>31</w:t>
            </w:r>
            <w:r>
              <w:rPr>
                <w:noProof/>
                <w:webHidden/>
              </w:rPr>
              <w:fldChar w:fldCharType="end"/>
            </w:r>
          </w:hyperlink>
        </w:p>
        <w:p w14:paraId="7D3211D8" w14:textId="5E57EE1D"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1" w:history="1">
            <w:r w:rsidRPr="003E0B6B">
              <w:rPr>
                <w:rStyle w:val="Hipervnculo"/>
                <w:rFonts w:eastAsiaTheme="majorEastAsia"/>
                <w:b/>
                <w:noProof/>
                <w:lang w:val="es-DO"/>
              </w:rPr>
              <w:t>4.3</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de los Procesos Jurídicos</w:t>
            </w:r>
            <w:r>
              <w:rPr>
                <w:noProof/>
                <w:webHidden/>
              </w:rPr>
              <w:tab/>
            </w:r>
            <w:r>
              <w:rPr>
                <w:noProof/>
                <w:webHidden/>
              </w:rPr>
              <w:fldChar w:fldCharType="begin"/>
            </w:r>
            <w:r>
              <w:rPr>
                <w:noProof/>
                <w:webHidden/>
              </w:rPr>
              <w:instrText xml:space="preserve"> PAGEREF _Toc217050891 \h </w:instrText>
            </w:r>
            <w:r>
              <w:rPr>
                <w:noProof/>
                <w:webHidden/>
              </w:rPr>
            </w:r>
            <w:r>
              <w:rPr>
                <w:noProof/>
                <w:webHidden/>
              </w:rPr>
              <w:fldChar w:fldCharType="separate"/>
            </w:r>
            <w:r>
              <w:rPr>
                <w:noProof/>
                <w:webHidden/>
              </w:rPr>
              <w:t>33</w:t>
            </w:r>
            <w:r>
              <w:rPr>
                <w:noProof/>
                <w:webHidden/>
              </w:rPr>
              <w:fldChar w:fldCharType="end"/>
            </w:r>
          </w:hyperlink>
        </w:p>
        <w:p w14:paraId="04E38AC7" w14:textId="0F8305A9"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2" w:history="1">
            <w:r w:rsidRPr="003E0B6B">
              <w:rPr>
                <w:rStyle w:val="Hipervnculo"/>
                <w:rFonts w:eastAsiaTheme="majorEastAsia"/>
                <w:b/>
                <w:noProof/>
                <w:lang w:val="es-DO"/>
              </w:rPr>
              <w:t>4.4</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de la Tecnología</w:t>
            </w:r>
            <w:r>
              <w:rPr>
                <w:noProof/>
                <w:webHidden/>
              </w:rPr>
              <w:tab/>
            </w:r>
            <w:r>
              <w:rPr>
                <w:noProof/>
                <w:webHidden/>
              </w:rPr>
              <w:fldChar w:fldCharType="begin"/>
            </w:r>
            <w:r>
              <w:rPr>
                <w:noProof/>
                <w:webHidden/>
              </w:rPr>
              <w:instrText xml:space="preserve"> PAGEREF _Toc217050892 \h </w:instrText>
            </w:r>
            <w:r>
              <w:rPr>
                <w:noProof/>
                <w:webHidden/>
              </w:rPr>
            </w:r>
            <w:r>
              <w:rPr>
                <w:noProof/>
                <w:webHidden/>
              </w:rPr>
              <w:fldChar w:fldCharType="separate"/>
            </w:r>
            <w:r>
              <w:rPr>
                <w:noProof/>
                <w:webHidden/>
              </w:rPr>
              <w:t>34</w:t>
            </w:r>
            <w:r>
              <w:rPr>
                <w:noProof/>
                <w:webHidden/>
              </w:rPr>
              <w:fldChar w:fldCharType="end"/>
            </w:r>
          </w:hyperlink>
        </w:p>
        <w:p w14:paraId="284F98C9" w14:textId="404FD93C"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3" w:history="1">
            <w:r w:rsidRPr="003E0B6B">
              <w:rPr>
                <w:rStyle w:val="Hipervnculo"/>
                <w:rFonts w:eastAsiaTheme="majorEastAsia"/>
                <w:b/>
                <w:noProof/>
                <w:lang w:val="es-DO"/>
              </w:rPr>
              <w:t>4.5</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del Sistema de Planificación y Desarrollo Institucional.</w:t>
            </w:r>
            <w:r>
              <w:rPr>
                <w:noProof/>
                <w:webHidden/>
              </w:rPr>
              <w:tab/>
            </w:r>
            <w:r>
              <w:rPr>
                <w:noProof/>
                <w:webHidden/>
              </w:rPr>
              <w:fldChar w:fldCharType="begin"/>
            </w:r>
            <w:r>
              <w:rPr>
                <w:noProof/>
                <w:webHidden/>
              </w:rPr>
              <w:instrText xml:space="preserve"> PAGEREF _Toc217050893 \h </w:instrText>
            </w:r>
            <w:r>
              <w:rPr>
                <w:noProof/>
                <w:webHidden/>
              </w:rPr>
            </w:r>
            <w:r>
              <w:rPr>
                <w:noProof/>
                <w:webHidden/>
              </w:rPr>
              <w:fldChar w:fldCharType="separate"/>
            </w:r>
            <w:r>
              <w:rPr>
                <w:noProof/>
                <w:webHidden/>
              </w:rPr>
              <w:t>36</w:t>
            </w:r>
            <w:r>
              <w:rPr>
                <w:noProof/>
                <w:webHidden/>
              </w:rPr>
              <w:fldChar w:fldCharType="end"/>
            </w:r>
          </w:hyperlink>
        </w:p>
        <w:p w14:paraId="10A51C1B" w14:textId="0A7CE887"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4" w:history="1">
            <w:r w:rsidRPr="003E0B6B">
              <w:rPr>
                <w:rStyle w:val="Hipervnculo"/>
                <w:rFonts w:eastAsiaTheme="majorEastAsia"/>
                <w:b/>
                <w:noProof/>
                <w:lang w:val="es-DO"/>
              </w:rPr>
              <w:t>a)</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Resultados de las Normas Básicas de Control Interno (NOBACI)</w:t>
            </w:r>
            <w:r>
              <w:rPr>
                <w:noProof/>
                <w:webHidden/>
              </w:rPr>
              <w:tab/>
            </w:r>
            <w:r>
              <w:rPr>
                <w:noProof/>
                <w:webHidden/>
              </w:rPr>
              <w:fldChar w:fldCharType="begin"/>
            </w:r>
            <w:r>
              <w:rPr>
                <w:noProof/>
                <w:webHidden/>
              </w:rPr>
              <w:instrText xml:space="preserve"> PAGEREF _Toc217050894 \h </w:instrText>
            </w:r>
            <w:r>
              <w:rPr>
                <w:noProof/>
                <w:webHidden/>
              </w:rPr>
            </w:r>
            <w:r>
              <w:rPr>
                <w:noProof/>
                <w:webHidden/>
              </w:rPr>
              <w:fldChar w:fldCharType="separate"/>
            </w:r>
            <w:r>
              <w:rPr>
                <w:noProof/>
                <w:webHidden/>
              </w:rPr>
              <w:t>37</w:t>
            </w:r>
            <w:r>
              <w:rPr>
                <w:noProof/>
                <w:webHidden/>
              </w:rPr>
              <w:fldChar w:fldCharType="end"/>
            </w:r>
          </w:hyperlink>
        </w:p>
        <w:p w14:paraId="2933FD6B" w14:textId="633E6F93"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5" w:history="1">
            <w:r w:rsidRPr="003E0B6B">
              <w:rPr>
                <w:rStyle w:val="Hipervnculo"/>
                <w:rFonts w:eastAsiaTheme="majorEastAsia"/>
                <w:b/>
                <w:noProof/>
                <w:lang w:val="es-DO"/>
              </w:rPr>
              <w:t>b)</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Resultados de los Sistemas de Calidad</w:t>
            </w:r>
            <w:r>
              <w:rPr>
                <w:noProof/>
                <w:webHidden/>
              </w:rPr>
              <w:tab/>
            </w:r>
            <w:r>
              <w:rPr>
                <w:noProof/>
                <w:webHidden/>
              </w:rPr>
              <w:fldChar w:fldCharType="begin"/>
            </w:r>
            <w:r>
              <w:rPr>
                <w:noProof/>
                <w:webHidden/>
              </w:rPr>
              <w:instrText xml:space="preserve"> PAGEREF _Toc217050895 \h </w:instrText>
            </w:r>
            <w:r>
              <w:rPr>
                <w:noProof/>
                <w:webHidden/>
              </w:rPr>
            </w:r>
            <w:r>
              <w:rPr>
                <w:noProof/>
                <w:webHidden/>
              </w:rPr>
              <w:fldChar w:fldCharType="separate"/>
            </w:r>
            <w:r>
              <w:rPr>
                <w:noProof/>
                <w:webHidden/>
              </w:rPr>
              <w:t>38</w:t>
            </w:r>
            <w:r>
              <w:rPr>
                <w:noProof/>
                <w:webHidden/>
              </w:rPr>
              <w:fldChar w:fldCharType="end"/>
            </w:r>
          </w:hyperlink>
        </w:p>
        <w:p w14:paraId="4A8DC1E5" w14:textId="7C95585C" w:rsidR="00D0435C" w:rsidRDefault="00D0435C">
          <w:pPr>
            <w:pStyle w:val="TDC1"/>
            <w:tabs>
              <w:tab w:val="left" w:pos="480"/>
              <w:tab w:val="right" w:leader="dot" w:pos="9350"/>
            </w:tabs>
            <w:rPr>
              <w:rFonts w:asciiTheme="minorHAnsi" w:eastAsiaTheme="minorEastAsia" w:hAnsiTheme="minorHAnsi" w:cstheme="minorBidi"/>
              <w:noProof/>
              <w:color w:val="auto"/>
              <w:spacing w:val="0"/>
              <w:kern w:val="2"/>
              <w14:ligatures w14:val="standardContextual"/>
            </w:rPr>
          </w:pPr>
          <w:hyperlink w:anchor="_Toc217050896" w:history="1">
            <w:r w:rsidRPr="003E0B6B">
              <w:rPr>
                <w:rStyle w:val="Hipervnculo"/>
                <w:rFonts w:eastAsiaTheme="majorEastAsia"/>
                <w:b/>
                <w:noProof/>
                <w:lang w:val="es-DO"/>
              </w:rPr>
              <w:t>c)</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Acciones para el Fortalecimiento Institucional</w:t>
            </w:r>
            <w:r>
              <w:rPr>
                <w:noProof/>
                <w:webHidden/>
              </w:rPr>
              <w:tab/>
            </w:r>
            <w:r>
              <w:rPr>
                <w:noProof/>
                <w:webHidden/>
              </w:rPr>
              <w:fldChar w:fldCharType="begin"/>
            </w:r>
            <w:r>
              <w:rPr>
                <w:noProof/>
                <w:webHidden/>
              </w:rPr>
              <w:instrText xml:space="preserve"> PAGEREF _Toc217050896 \h </w:instrText>
            </w:r>
            <w:r>
              <w:rPr>
                <w:noProof/>
                <w:webHidden/>
              </w:rPr>
            </w:r>
            <w:r>
              <w:rPr>
                <w:noProof/>
                <w:webHidden/>
              </w:rPr>
              <w:fldChar w:fldCharType="separate"/>
            </w:r>
            <w:r>
              <w:rPr>
                <w:noProof/>
                <w:webHidden/>
              </w:rPr>
              <w:t>40</w:t>
            </w:r>
            <w:r>
              <w:rPr>
                <w:noProof/>
                <w:webHidden/>
              </w:rPr>
              <w:fldChar w:fldCharType="end"/>
            </w:r>
          </w:hyperlink>
        </w:p>
        <w:p w14:paraId="3B5447BB" w14:textId="2865EF15"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7" w:history="1">
            <w:r w:rsidRPr="003E0B6B">
              <w:rPr>
                <w:rStyle w:val="Hipervnculo"/>
                <w:rFonts w:eastAsiaTheme="majorEastAsia"/>
                <w:b/>
                <w:noProof/>
                <w:lang w:val="es-DO"/>
              </w:rPr>
              <w:t>d)</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Avances en la Implementación de las Políticas Transversales</w:t>
            </w:r>
            <w:r>
              <w:rPr>
                <w:noProof/>
                <w:webHidden/>
              </w:rPr>
              <w:tab/>
            </w:r>
            <w:r>
              <w:rPr>
                <w:noProof/>
                <w:webHidden/>
              </w:rPr>
              <w:fldChar w:fldCharType="begin"/>
            </w:r>
            <w:r>
              <w:rPr>
                <w:noProof/>
                <w:webHidden/>
              </w:rPr>
              <w:instrText xml:space="preserve"> PAGEREF _Toc217050897 \h </w:instrText>
            </w:r>
            <w:r>
              <w:rPr>
                <w:noProof/>
                <w:webHidden/>
              </w:rPr>
            </w:r>
            <w:r>
              <w:rPr>
                <w:noProof/>
                <w:webHidden/>
              </w:rPr>
              <w:fldChar w:fldCharType="separate"/>
            </w:r>
            <w:r>
              <w:rPr>
                <w:noProof/>
                <w:webHidden/>
              </w:rPr>
              <w:t>41</w:t>
            </w:r>
            <w:r>
              <w:rPr>
                <w:noProof/>
                <w:webHidden/>
              </w:rPr>
              <w:fldChar w:fldCharType="end"/>
            </w:r>
          </w:hyperlink>
        </w:p>
        <w:p w14:paraId="2B50AD19" w14:textId="166463E3" w:rsidR="00D0435C" w:rsidRDefault="00D0435C">
          <w:pPr>
            <w:pStyle w:val="TDC1"/>
            <w:tabs>
              <w:tab w:val="left" w:pos="480"/>
              <w:tab w:val="right" w:leader="dot" w:pos="9350"/>
            </w:tabs>
            <w:rPr>
              <w:rFonts w:asciiTheme="minorHAnsi" w:eastAsiaTheme="minorEastAsia" w:hAnsiTheme="minorHAnsi" w:cstheme="minorBidi"/>
              <w:noProof/>
              <w:color w:val="auto"/>
              <w:spacing w:val="0"/>
              <w:kern w:val="2"/>
              <w14:ligatures w14:val="standardContextual"/>
            </w:rPr>
          </w:pPr>
          <w:hyperlink w:anchor="_Toc217050898" w:history="1">
            <w:r w:rsidRPr="003E0B6B">
              <w:rPr>
                <w:rStyle w:val="Hipervnculo"/>
                <w:rFonts w:eastAsiaTheme="majorEastAsia"/>
                <w:b/>
                <w:noProof/>
                <w:lang w:val="es-DO"/>
              </w:rPr>
              <w:t>e)</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Resultados o Avances en la Implementación de la Evaluación de Desempeño Institucional (EDI).</w:t>
            </w:r>
            <w:r>
              <w:rPr>
                <w:noProof/>
                <w:webHidden/>
              </w:rPr>
              <w:tab/>
            </w:r>
            <w:r>
              <w:rPr>
                <w:noProof/>
                <w:webHidden/>
              </w:rPr>
              <w:fldChar w:fldCharType="begin"/>
            </w:r>
            <w:r>
              <w:rPr>
                <w:noProof/>
                <w:webHidden/>
              </w:rPr>
              <w:instrText xml:space="preserve"> PAGEREF _Toc217050898 \h </w:instrText>
            </w:r>
            <w:r>
              <w:rPr>
                <w:noProof/>
                <w:webHidden/>
              </w:rPr>
            </w:r>
            <w:r>
              <w:rPr>
                <w:noProof/>
                <w:webHidden/>
              </w:rPr>
              <w:fldChar w:fldCharType="separate"/>
            </w:r>
            <w:r>
              <w:rPr>
                <w:noProof/>
                <w:webHidden/>
              </w:rPr>
              <w:t>41</w:t>
            </w:r>
            <w:r>
              <w:rPr>
                <w:noProof/>
                <w:webHidden/>
              </w:rPr>
              <w:fldChar w:fldCharType="end"/>
            </w:r>
          </w:hyperlink>
        </w:p>
        <w:p w14:paraId="510D5B97" w14:textId="798401FC"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899" w:history="1">
            <w:r w:rsidRPr="003E0B6B">
              <w:rPr>
                <w:rStyle w:val="Hipervnculo"/>
                <w:rFonts w:eastAsiaTheme="majorEastAsia"/>
                <w:b/>
                <w:noProof/>
                <w:lang w:val="es-DO"/>
              </w:rPr>
              <w:t>4.6</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Desempeño del Área de Comunicaciones</w:t>
            </w:r>
            <w:r>
              <w:rPr>
                <w:noProof/>
                <w:webHidden/>
              </w:rPr>
              <w:tab/>
            </w:r>
            <w:r>
              <w:rPr>
                <w:noProof/>
                <w:webHidden/>
              </w:rPr>
              <w:fldChar w:fldCharType="begin"/>
            </w:r>
            <w:r>
              <w:rPr>
                <w:noProof/>
                <w:webHidden/>
              </w:rPr>
              <w:instrText xml:space="preserve"> PAGEREF _Toc217050899 \h </w:instrText>
            </w:r>
            <w:r>
              <w:rPr>
                <w:noProof/>
                <w:webHidden/>
              </w:rPr>
            </w:r>
            <w:r>
              <w:rPr>
                <w:noProof/>
                <w:webHidden/>
              </w:rPr>
              <w:fldChar w:fldCharType="separate"/>
            </w:r>
            <w:r>
              <w:rPr>
                <w:noProof/>
                <w:webHidden/>
              </w:rPr>
              <w:t>42</w:t>
            </w:r>
            <w:r>
              <w:rPr>
                <w:noProof/>
                <w:webHidden/>
              </w:rPr>
              <w:fldChar w:fldCharType="end"/>
            </w:r>
          </w:hyperlink>
        </w:p>
        <w:p w14:paraId="087FA2F3" w14:textId="23ABC387"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0" w:history="1">
            <w:r w:rsidRPr="003E0B6B">
              <w:rPr>
                <w:rStyle w:val="Hipervnculo"/>
                <w:rFonts w:eastAsiaTheme="majorEastAsia"/>
                <w:b/>
                <w:noProof/>
                <w:lang w:val="es-DO"/>
              </w:rPr>
              <w:t>4.7</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Monitoreo y Vigilancia</w:t>
            </w:r>
            <w:r>
              <w:rPr>
                <w:noProof/>
                <w:webHidden/>
              </w:rPr>
              <w:tab/>
            </w:r>
            <w:r>
              <w:rPr>
                <w:noProof/>
                <w:webHidden/>
              </w:rPr>
              <w:fldChar w:fldCharType="begin"/>
            </w:r>
            <w:r>
              <w:rPr>
                <w:noProof/>
                <w:webHidden/>
              </w:rPr>
              <w:instrText xml:space="preserve"> PAGEREF _Toc217050900 \h </w:instrText>
            </w:r>
            <w:r>
              <w:rPr>
                <w:noProof/>
                <w:webHidden/>
              </w:rPr>
            </w:r>
            <w:r>
              <w:rPr>
                <w:noProof/>
                <w:webHidden/>
              </w:rPr>
              <w:fldChar w:fldCharType="separate"/>
            </w:r>
            <w:r>
              <w:rPr>
                <w:noProof/>
                <w:webHidden/>
              </w:rPr>
              <w:t>44</w:t>
            </w:r>
            <w:r>
              <w:rPr>
                <w:noProof/>
                <w:webHidden/>
              </w:rPr>
              <w:fldChar w:fldCharType="end"/>
            </w:r>
          </w:hyperlink>
        </w:p>
        <w:p w14:paraId="239AF7C1" w14:textId="2B464290"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1" w:history="1">
            <w:r w:rsidRPr="003E0B6B">
              <w:rPr>
                <w:rStyle w:val="Hipervnculo"/>
                <w:rFonts w:eastAsiaTheme="majorEastAsia"/>
                <w:b/>
                <w:noProof/>
                <w:lang w:val="es-DO"/>
              </w:rPr>
              <w:t>4.8</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Seguridad y Vigilancia Institucional</w:t>
            </w:r>
            <w:r>
              <w:rPr>
                <w:noProof/>
                <w:webHidden/>
              </w:rPr>
              <w:tab/>
            </w:r>
            <w:r>
              <w:rPr>
                <w:noProof/>
                <w:webHidden/>
              </w:rPr>
              <w:fldChar w:fldCharType="begin"/>
            </w:r>
            <w:r>
              <w:rPr>
                <w:noProof/>
                <w:webHidden/>
              </w:rPr>
              <w:instrText xml:space="preserve"> PAGEREF _Toc217050901 \h </w:instrText>
            </w:r>
            <w:r>
              <w:rPr>
                <w:noProof/>
                <w:webHidden/>
              </w:rPr>
            </w:r>
            <w:r>
              <w:rPr>
                <w:noProof/>
                <w:webHidden/>
              </w:rPr>
              <w:fldChar w:fldCharType="separate"/>
            </w:r>
            <w:r>
              <w:rPr>
                <w:noProof/>
                <w:webHidden/>
              </w:rPr>
              <w:t>47</w:t>
            </w:r>
            <w:r>
              <w:rPr>
                <w:noProof/>
                <w:webHidden/>
              </w:rPr>
              <w:fldChar w:fldCharType="end"/>
            </w:r>
          </w:hyperlink>
        </w:p>
        <w:p w14:paraId="0B1F78CA" w14:textId="267C77FE"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2" w:history="1">
            <w:r w:rsidRPr="003E0B6B">
              <w:rPr>
                <w:rStyle w:val="Hipervnculo"/>
                <w:noProof/>
                <w:lang w:val="es-DO"/>
              </w:rPr>
              <w:t>V.</w:t>
            </w:r>
            <w:r>
              <w:rPr>
                <w:rFonts w:asciiTheme="minorHAnsi" w:eastAsiaTheme="minorEastAsia" w:hAnsiTheme="minorHAnsi" w:cstheme="minorBidi"/>
                <w:noProof/>
                <w:color w:val="auto"/>
                <w:spacing w:val="0"/>
                <w:kern w:val="2"/>
                <w14:ligatures w14:val="standardContextual"/>
              </w:rPr>
              <w:tab/>
            </w:r>
            <w:r w:rsidRPr="003E0B6B">
              <w:rPr>
                <w:rStyle w:val="Hipervnculo"/>
                <w:noProof/>
                <w:lang w:val="es-DO"/>
              </w:rPr>
              <w:t>SERVICIO AL CIUDADANO Y TRANSPARENCIA INSTITUCIONAL</w:t>
            </w:r>
            <w:r>
              <w:rPr>
                <w:noProof/>
                <w:webHidden/>
              </w:rPr>
              <w:tab/>
            </w:r>
            <w:r>
              <w:rPr>
                <w:noProof/>
                <w:webHidden/>
              </w:rPr>
              <w:fldChar w:fldCharType="begin"/>
            </w:r>
            <w:r>
              <w:rPr>
                <w:noProof/>
                <w:webHidden/>
              </w:rPr>
              <w:instrText xml:space="preserve"> PAGEREF _Toc217050902 \h </w:instrText>
            </w:r>
            <w:r>
              <w:rPr>
                <w:noProof/>
                <w:webHidden/>
              </w:rPr>
            </w:r>
            <w:r>
              <w:rPr>
                <w:noProof/>
                <w:webHidden/>
              </w:rPr>
              <w:fldChar w:fldCharType="separate"/>
            </w:r>
            <w:r>
              <w:rPr>
                <w:noProof/>
                <w:webHidden/>
              </w:rPr>
              <w:t>48</w:t>
            </w:r>
            <w:r>
              <w:rPr>
                <w:noProof/>
                <w:webHidden/>
              </w:rPr>
              <w:fldChar w:fldCharType="end"/>
            </w:r>
          </w:hyperlink>
        </w:p>
        <w:p w14:paraId="51699069" w14:textId="6E06508B"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3" w:history="1">
            <w:r w:rsidRPr="003E0B6B">
              <w:rPr>
                <w:rStyle w:val="Hipervnculo"/>
                <w:rFonts w:eastAsiaTheme="majorEastAsia"/>
                <w:b/>
                <w:noProof/>
                <w:lang w:val="es-DO"/>
              </w:rPr>
              <w:t>5.1</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Nivel de Satisfacción con el Servicio</w:t>
            </w:r>
            <w:r>
              <w:rPr>
                <w:noProof/>
                <w:webHidden/>
              </w:rPr>
              <w:tab/>
            </w:r>
            <w:r>
              <w:rPr>
                <w:noProof/>
                <w:webHidden/>
              </w:rPr>
              <w:fldChar w:fldCharType="begin"/>
            </w:r>
            <w:r>
              <w:rPr>
                <w:noProof/>
                <w:webHidden/>
              </w:rPr>
              <w:instrText xml:space="preserve"> PAGEREF _Toc217050903 \h </w:instrText>
            </w:r>
            <w:r>
              <w:rPr>
                <w:noProof/>
                <w:webHidden/>
              </w:rPr>
            </w:r>
            <w:r>
              <w:rPr>
                <w:noProof/>
                <w:webHidden/>
              </w:rPr>
              <w:fldChar w:fldCharType="separate"/>
            </w:r>
            <w:r>
              <w:rPr>
                <w:noProof/>
                <w:webHidden/>
              </w:rPr>
              <w:t>48</w:t>
            </w:r>
            <w:r>
              <w:rPr>
                <w:noProof/>
                <w:webHidden/>
              </w:rPr>
              <w:fldChar w:fldCharType="end"/>
            </w:r>
          </w:hyperlink>
        </w:p>
        <w:p w14:paraId="59D5DA5E" w14:textId="3647EBB6"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4" w:history="1">
            <w:r w:rsidRPr="003E0B6B">
              <w:rPr>
                <w:rStyle w:val="Hipervnculo"/>
                <w:rFonts w:eastAsiaTheme="majorEastAsia"/>
                <w:b/>
                <w:noProof/>
                <w:lang w:val="es-DO"/>
              </w:rPr>
              <w:t>5.2</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Nivel de Cumplimiento a Acceso de Información</w:t>
            </w:r>
            <w:r>
              <w:rPr>
                <w:noProof/>
                <w:webHidden/>
              </w:rPr>
              <w:tab/>
            </w:r>
            <w:r>
              <w:rPr>
                <w:noProof/>
                <w:webHidden/>
              </w:rPr>
              <w:fldChar w:fldCharType="begin"/>
            </w:r>
            <w:r>
              <w:rPr>
                <w:noProof/>
                <w:webHidden/>
              </w:rPr>
              <w:instrText xml:space="preserve"> PAGEREF _Toc217050904 \h </w:instrText>
            </w:r>
            <w:r>
              <w:rPr>
                <w:noProof/>
                <w:webHidden/>
              </w:rPr>
            </w:r>
            <w:r>
              <w:rPr>
                <w:noProof/>
                <w:webHidden/>
              </w:rPr>
              <w:fldChar w:fldCharType="separate"/>
            </w:r>
            <w:r>
              <w:rPr>
                <w:noProof/>
                <w:webHidden/>
              </w:rPr>
              <w:t>50</w:t>
            </w:r>
            <w:r>
              <w:rPr>
                <w:noProof/>
                <w:webHidden/>
              </w:rPr>
              <w:fldChar w:fldCharType="end"/>
            </w:r>
          </w:hyperlink>
        </w:p>
        <w:p w14:paraId="7C273A43" w14:textId="7810944A"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5" w:history="1">
            <w:r w:rsidRPr="003E0B6B">
              <w:rPr>
                <w:rStyle w:val="Hipervnculo"/>
                <w:rFonts w:eastAsiaTheme="majorEastAsia"/>
                <w:b/>
                <w:noProof/>
                <w:lang w:val="es-DO"/>
              </w:rPr>
              <w:t>5.3</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Resultados sistema de quejas, reclamos y sugerencias (QRS)</w:t>
            </w:r>
            <w:r>
              <w:rPr>
                <w:noProof/>
                <w:webHidden/>
              </w:rPr>
              <w:tab/>
            </w:r>
            <w:r>
              <w:rPr>
                <w:noProof/>
                <w:webHidden/>
              </w:rPr>
              <w:fldChar w:fldCharType="begin"/>
            </w:r>
            <w:r>
              <w:rPr>
                <w:noProof/>
                <w:webHidden/>
              </w:rPr>
              <w:instrText xml:space="preserve"> PAGEREF _Toc217050905 \h </w:instrText>
            </w:r>
            <w:r>
              <w:rPr>
                <w:noProof/>
                <w:webHidden/>
              </w:rPr>
            </w:r>
            <w:r>
              <w:rPr>
                <w:noProof/>
                <w:webHidden/>
              </w:rPr>
              <w:fldChar w:fldCharType="separate"/>
            </w:r>
            <w:r>
              <w:rPr>
                <w:noProof/>
                <w:webHidden/>
              </w:rPr>
              <w:t>51</w:t>
            </w:r>
            <w:r>
              <w:rPr>
                <w:noProof/>
                <w:webHidden/>
              </w:rPr>
              <w:fldChar w:fldCharType="end"/>
            </w:r>
          </w:hyperlink>
        </w:p>
        <w:p w14:paraId="07F30EAF" w14:textId="73E1C25D" w:rsidR="00D0435C" w:rsidRDefault="00D0435C">
          <w:pPr>
            <w:pStyle w:val="TDC1"/>
            <w:tabs>
              <w:tab w:val="left" w:pos="720"/>
              <w:tab w:val="right" w:leader="dot" w:pos="9350"/>
            </w:tabs>
            <w:rPr>
              <w:rFonts w:asciiTheme="minorHAnsi" w:eastAsiaTheme="minorEastAsia" w:hAnsiTheme="minorHAnsi" w:cstheme="minorBidi"/>
              <w:noProof/>
              <w:color w:val="auto"/>
              <w:spacing w:val="0"/>
              <w:kern w:val="2"/>
              <w14:ligatures w14:val="standardContextual"/>
            </w:rPr>
          </w:pPr>
          <w:hyperlink w:anchor="_Toc217050906" w:history="1">
            <w:r w:rsidRPr="003E0B6B">
              <w:rPr>
                <w:rStyle w:val="Hipervnculo"/>
                <w:rFonts w:eastAsiaTheme="majorEastAsia"/>
                <w:b/>
                <w:noProof/>
                <w:lang w:val="es-DO"/>
              </w:rPr>
              <w:t>5.4</w:t>
            </w:r>
            <w:r>
              <w:rPr>
                <w:rFonts w:asciiTheme="minorHAnsi" w:eastAsiaTheme="minorEastAsia" w:hAnsiTheme="minorHAnsi" w:cstheme="minorBidi"/>
                <w:noProof/>
                <w:color w:val="auto"/>
                <w:spacing w:val="0"/>
                <w:kern w:val="2"/>
                <w14:ligatures w14:val="standardContextual"/>
              </w:rPr>
              <w:tab/>
            </w:r>
            <w:r w:rsidRPr="003E0B6B">
              <w:rPr>
                <w:rStyle w:val="Hipervnculo"/>
                <w:rFonts w:eastAsiaTheme="majorEastAsia"/>
                <w:b/>
                <w:noProof/>
                <w:lang w:val="es-DO"/>
              </w:rPr>
              <w:t>Resultados mediciones del portal de transparencia</w:t>
            </w:r>
            <w:r>
              <w:rPr>
                <w:noProof/>
                <w:webHidden/>
              </w:rPr>
              <w:tab/>
            </w:r>
            <w:r>
              <w:rPr>
                <w:noProof/>
                <w:webHidden/>
              </w:rPr>
              <w:fldChar w:fldCharType="begin"/>
            </w:r>
            <w:r>
              <w:rPr>
                <w:noProof/>
                <w:webHidden/>
              </w:rPr>
              <w:instrText xml:space="preserve"> PAGEREF _Toc217050906 \h </w:instrText>
            </w:r>
            <w:r>
              <w:rPr>
                <w:noProof/>
                <w:webHidden/>
              </w:rPr>
            </w:r>
            <w:r>
              <w:rPr>
                <w:noProof/>
                <w:webHidden/>
              </w:rPr>
              <w:fldChar w:fldCharType="separate"/>
            </w:r>
            <w:r>
              <w:rPr>
                <w:noProof/>
                <w:webHidden/>
              </w:rPr>
              <w:t>51</w:t>
            </w:r>
            <w:r>
              <w:rPr>
                <w:noProof/>
                <w:webHidden/>
              </w:rPr>
              <w:fldChar w:fldCharType="end"/>
            </w:r>
          </w:hyperlink>
        </w:p>
        <w:p w14:paraId="12870A3F" w14:textId="5A49FCB9" w:rsidR="00D0435C" w:rsidRDefault="00D0435C">
          <w:pPr>
            <w:pStyle w:val="TDC1"/>
            <w:tabs>
              <w:tab w:val="right" w:leader="dot" w:pos="9350"/>
            </w:tabs>
            <w:rPr>
              <w:rFonts w:asciiTheme="minorHAnsi" w:eastAsiaTheme="minorEastAsia" w:hAnsiTheme="minorHAnsi" w:cstheme="minorBidi"/>
              <w:noProof/>
              <w:color w:val="auto"/>
              <w:spacing w:val="0"/>
              <w:kern w:val="2"/>
              <w14:ligatures w14:val="standardContextual"/>
            </w:rPr>
          </w:pPr>
          <w:hyperlink w:anchor="_Toc217050907" w:history="1">
            <w:r w:rsidRPr="003E0B6B">
              <w:rPr>
                <w:rStyle w:val="Hipervnculo"/>
                <w:noProof/>
                <w:lang w:val="es-DO"/>
              </w:rPr>
              <w:t>PROYECCIONES AL PRÓXIMO AÑO</w:t>
            </w:r>
            <w:r>
              <w:rPr>
                <w:noProof/>
                <w:webHidden/>
              </w:rPr>
              <w:tab/>
            </w:r>
            <w:r>
              <w:rPr>
                <w:noProof/>
                <w:webHidden/>
              </w:rPr>
              <w:fldChar w:fldCharType="begin"/>
            </w:r>
            <w:r>
              <w:rPr>
                <w:noProof/>
                <w:webHidden/>
              </w:rPr>
              <w:instrText xml:space="preserve"> PAGEREF _Toc217050907 \h </w:instrText>
            </w:r>
            <w:r>
              <w:rPr>
                <w:noProof/>
                <w:webHidden/>
              </w:rPr>
            </w:r>
            <w:r>
              <w:rPr>
                <w:noProof/>
                <w:webHidden/>
              </w:rPr>
              <w:fldChar w:fldCharType="separate"/>
            </w:r>
            <w:r>
              <w:rPr>
                <w:noProof/>
                <w:webHidden/>
              </w:rPr>
              <w:t>53</w:t>
            </w:r>
            <w:r>
              <w:rPr>
                <w:noProof/>
                <w:webHidden/>
              </w:rPr>
              <w:fldChar w:fldCharType="end"/>
            </w:r>
          </w:hyperlink>
        </w:p>
        <w:p w14:paraId="61A0CEFA" w14:textId="05E07F9D" w:rsidR="00D0435C" w:rsidRDefault="00D0435C">
          <w:pPr>
            <w:pStyle w:val="TDC1"/>
            <w:tabs>
              <w:tab w:val="right" w:leader="dot" w:pos="9350"/>
            </w:tabs>
            <w:rPr>
              <w:rFonts w:asciiTheme="minorHAnsi" w:eastAsiaTheme="minorEastAsia" w:hAnsiTheme="minorHAnsi" w:cstheme="minorBidi"/>
              <w:noProof/>
              <w:color w:val="auto"/>
              <w:spacing w:val="0"/>
              <w:kern w:val="2"/>
              <w14:ligatures w14:val="standardContextual"/>
            </w:rPr>
          </w:pPr>
          <w:hyperlink w:anchor="_Toc217050908" w:history="1">
            <w:r w:rsidRPr="003E0B6B">
              <w:rPr>
                <w:rStyle w:val="Hipervnculo"/>
                <w:noProof/>
                <w:lang w:val="es-DO"/>
              </w:rPr>
              <w:t>ANEXOS</w:t>
            </w:r>
            <w:r>
              <w:rPr>
                <w:noProof/>
                <w:webHidden/>
              </w:rPr>
              <w:tab/>
            </w:r>
            <w:r>
              <w:rPr>
                <w:noProof/>
                <w:webHidden/>
              </w:rPr>
              <w:fldChar w:fldCharType="begin"/>
            </w:r>
            <w:r>
              <w:rPr>
                <w:noProof/>
                <w:webHidden/>
              </w:rPr>
              <w:instrText xml:space="preserve"> PAGEREF _Toc217050908 \h </w:instrText>
            </w:r>
            <w:r>
              <w:rPr>
                <w:noProof/>
                <w:webHidden/>
              </w:rPr>
            </w:r>
            <w:r>
              <w:rPr>
                <w:noProof/>
                <w:webHidden/>
              </w:rPr>
              <w:fldChar w:fldCharType="separate"/>
            </w:r>
            <w:r>
              <w:rPr>
                <w:noProof/>
                <w:webHidden/>
              </w:rPr>
              <w:t>55</w:t>
            </w:r>
            <w:r>
              <w:rPr>
                <w:noProof/>
                <w:webHidden/>
              </w:rPr>
              <w:fldChar w:fldCharType="end"/>
            </w:r>
          </w:hyperlink>
        </w:p>
        <w:p w14:paraId="48DD30ED" w14:textId="71314095" w:rsidR="00A630BC" w:rsidRPr="00310D52" w:rsidRDefault="00A630BC">
          <w:r w:rsidRPr="00310D52">
            <w:rPr>
              <w:b/>
              <w:bCs/>
              <w:noProof/>
            </w:rPr>
            <w:fldChar w:fldCharType="end"/>
          </w:r>
        </w:p>
      </w:sdtContent>
    </w:sdt>
    <w:p w14:paraId="4394B0A8" w14:textId="77777777" w:rsidR="001240D0" w:rsidRPr="00310D52" w:rsidRDefault="001240D0" w:rsidP="00B45B38">
      <w:pPr>
        <w:ind w:left="567"/>
        <w:rPr>
          <w:b/>
          <w:bCs/>
          <w:noProof/>
          <w:lang w:val="es-DO"/>
        </w:rPr>
      </w:pPr>
    </w:p>
    <w:p w14:paraId="4242FE2D" w14:textId="77777777" w:rsidR="001240D0" w:rsidRPr="00310D52" w:rsidRDefault="001240D0" w:rsidP="00B45B38">
      <w:pPr>
        <w:ind w:left="567"/>
        <w:rPr>
          <w:b/>
          <w:bCs/>
          <w:noProof/>
          <w:lang w:val="es-DO"/>
        </w:rPr>
      </w:pPr>
    </w:p>
    <w:p w14:paraId="573DD07B" w14:textId="77777777" w:rsidR="001240D0" w:rsidRPr="00310D52" w:rsidRDefault="001240D0" w:rsidP="00B45B38">
      <w:pPr>
        <w:ind w:left="567"/>
        <w:rPr>
          <w:b/>
          <w:bCs/>
          <w:noProof/>
          <w:lang w:val="es-DO"/>
        </w:rPr>
      </w:pPr>
    </w:p>
    <w:p w14:paraId="6CEA36FA" w14:textId="77777777" w:rsidR="001240D0" w:rsidRPr="00310D52" w:rsidRDefault="001240D0" w:rsidP="00B45B38">
      <w:pPr>
        <w:ind w:left="567"/>
        <w:rPr>
          <w:b/>
          <w:bCs/>
          <w:noProof/>
          <w:lang w:val="es-DO"/>
        </w:rPr>
      </w:pPr>
    </w:p>
    <w:p w14:paraId="310BE1B9" w14:textId="77777777" w:rsidR="001240D0" w:rsidRPr="00310D52" w:rsidRDefault="001240D0" w:rsidP="00B45B38">
      <w:pPr>
        <w:ind w:left="567"/>
        <w:rPr>
          <w:b/>
          <w:bCs/>
          <w:noProof/>
          <w:lang w:val="es-DO"/>
        </w:rPr>
      </w:pPr>
    </w:p>
    <w:p w14:paraId="4D9BE3A9" w14:textId="77777777" w:rsidR="00920A80" w:rsidRPr="00310D52" w:rsidRDefault="00920A80" w:rsidP="00B45B38">
      <w:pPr>
        <w:ind w:left="567"/>
        <w:rPr>
          <w:b/>
          <w:bCs/>
          <w:noProof/>
          <w:lang w:val="es-DO"/>
        </w:rPr>
      </w:pPr>
    </w:p>
    <w:p w14:paraId="06171E0A" w14:textId="77777777" w:rsidR="00920A80" w:rsidRPr="00310D52" w:rsidRDefault="00920A80" w:rsidP="00B45B38">
      <w:pPr>
        <w:ind w:left="567"/>
        <w:rPr>
          <w:b/>
          <w:bCs/>
          <w:noProof/>
          <w:lang w:val="es-DO"/>
        </w:rPr>
      </w:pPr>
    </w:p>
    <w:p w14:paraId="48D5794A" w14:textId="77777777" w:rsidR="00920A80" w:rsidRPr="00310D52" w:rsidRDefault="00920A80" w:rsidP="00B45B38">
      <w:pPr>
        <w:ind w:left="567"/>
        <w:rPr>
          <w:b/>
          <w:bCs/>
          <w:noProof/>
          <w:lang w:val="es-DO"/>
        </w:rPr>
      </w:pPr>
    </w:p>
    <w:p w14:paraId="10240AA0" w14:textId="77777777" w:rsidR="00920A80" w:rsidRPr="00310D52" w:rsidRDefault="00920A80" w:rsidP="00B45B38">
      <w:pPr>
        <w:ind w:left="567"/>
        <w:rPr>
          <w:b/>
          <w:bCs/>
          <w:noProof/>
          <w:lang w:val="es-DO"/>
        </w:rPr>
      </w:pPr>
    </w:p>
    <w:p w14:paraId="282B891A" w14:textId="77777777" w:rsidR="00920A80" w:rsidRPr="00310D52" w:rsidRDefault="00920A80" w:rsidP="00B45B38">
      <w:pPr>
        <w:ind w:left="567"/>
        <w:rPr>
          <w:b/>
          <w:bCs/>
          <w:noProof/>
          <w:lang w:val="es-DO"/>
        </w:rPr>
      </w:pPr>
    </w:p>
    <w:p w14:paraId="3C867BEC" w14:textId="77777777" w:rsidR="00920A80" w:rsidRPr="00310D52" w:rsidRDefault="00920A80" w:rsidP="00B45B38">
      <w:pPr>
        <w:ind w:left="567"/>
        <w:rPr>
          <w:b/>
          <w:bCs/>
          <w:noProof/>
          <w:lang w:val="es-DO"/>
        </w:rPr>
      </w:pPr>
    </w:p>
    <w:p w14:paraId="34FD40AF" w14:textId="7F25FC58" w:rsidR="00920A80" w:rsidRPr="00310D52" w:rsidRDefault="00920A80" w:rsidP="00B45B38">
      <w:pPr>
        <w:ind w:left="567"/>
        <w:rPr>
          <w:i/>
          <w:iCs/>
          <w:noProof/>
          <w:sz w:val="20"/>
          <w:szCs w:val="20"/>
          <w:lang w:val="es-DO"/>
        </w:rPr>
      </w:pPr>
    </w:p>
    <w:p w14:paraId="13F38C54" w14:textId="77777777" w:rsidR="00920A80" w:rsidRPr="00310D52" w:rsidRDefault="00920A80" w:rsidP="00B45B38">
      <w:pPr>
        <w:ind w:left="567"/>
        <w:rPr>
          <w:b/>
          <w:bCs/>
          <w:noProof/>
          <w:lang w:val="es-DO"/>
        </w:rPr>
      </w:pPr>
    </w:p>
    <w:p w14:paraId="220C50B1" w14:textId="77777777" w:rsidR="001240D0" w:rsidRPr="00310D52" w:rsidRDefault="001240D0" w:rsidP="00B45B38">
      <w:pPr>
        <w:ind w:left="567"/>
        <w:rPr>
          <w:b/>
          <w:bCs/>
          <w:noProof/>
          <w:lang w:val="es-DO"/>
        </w:rPr>
      </w:pPr>
    </w:p>
    <w:p w14:paraId="03DAF95B" w14:textId="77777777" w:rsidR="001240D0" w:rsidRPr="00310D52" w:rsidRDefault="001240D0">
      <w:pPr>
        <w:rPr>
          <w:lang w:val="es-DO"/>
        </w:rPr>
      </w:pPr>
    </w:p>
    <w:p w14:paraId="1DBDA006" w14:textId="4D806799" w:rsidR="00074F31" w:rsidRPr="00310D52" w:rsidRDefault="00074F31">
      <w:pPr>
        <w:rPr>
          <w:lang w:val="es-DO"/>
        </w:rPr>
        <w:sectPr w:rsidR="00074F31" w:rsidRPr="00310D52" w:rsidSect="009904DB">
          <w:footerReference w:type="first" r:id="rId13"/>
          <w:pgSz w:w="12240" w:h="15840"/>
          <w:pgMar w:top="1440" w:right="1440" w:bottom="1440" w:left="1440" w:header="720" w:footer="720" w:gutter="0"/>
          <w:cols w:space="720"/>
          <w:docGrid w:linePitch="360"/>
        </w:sectPr>
      </w:pPr>
    </w:p>
    <w:p w14:paraId="649D29AD" w14:textId="5849EA87" w:rsidR="001240D0" w:rsidRPr="00310D52" w:rsidRDefault="001240D0" w:rsidP="00434602">
      <w:pPr>
        <w:pStyle w:val="Ttulo1"/>
        <w:numPr>
          <w:ilvl w:val="0"/>
          <w:numId w:val="1"/>
        </w:numPr>
        <w:rPr>
          <w:rFonts w:cs="Times New Roman"/>
          <w:color w:val="767171"/>
          <w:lang w:val="es-DO"/>
        </w:rPr>
      </w:pPr>
      <w:bookmarkStart w:id="2" w:name="_Toc217050873"/>
      <w:bookmarkStart w:id="3" w:name="_Hlk86403204"/>
      <w:r w:rsidRPr="00310D52">
        <w:rPr>
          <w:rFonts w:cs="Times New Roman"/>
          <w:color w:val="767171"/>
          <w:lang w:val="es-DO"/>
        </w:rPr>
        <w:lastRenderedPageBreak/>
        <w:t>RESUMEN EJECUTIVO</w:t>
      </w:r>
      <w:bookmarkEnd w:id="2"/>
    </w:p>
    <w:p w14:paraId="7C54AF21" w14:textId="26B7214D" w:rsidR="001240D0" w:rsidRPr="00310D52" w:rsidRDefault="00125D46" w:rsidP="00434602">
      <w:pPr>
        <w:spacing w:line="360" w:lineRule="auto"/>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650560" behindDoc="0" locked="0" layoutInCell="1" allowOverlap="1" wp14:anchorId="5383067F" wp14:editId="7F40C793">
                <wp:simplePos x="0" y="0"/>
                <wp:positionH relativeFrom="margin">
                  <wp:posOffset>2254250</wp:posOffset>
                </wp:positionH>
                <wp:positionV relativeFrom="paragraph">
                  <wp:posOffset>100625</wp:posOffset>
                </wp:positionV>
                <wp:extent cx="463550" cy="0"/>
                <wp:effectExtent l="22860" t="15875" r="18415" b="22225"/>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AC44D2" id="Straight Connector 21" o:spid="_x0000_s1026" style="position:absolute;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" strokecolor="#ee2a24" strokeweight="2.25pt">
                <v:stroke joinstyle="miter"/>
                <w10:wrap anchorx="margin"/>
              </v:line>
            </w:pict>
          </mc:Fallback>
        </mc:AlternateContent>
      </w:r>
    </w:p>
    <w:p w14:paraId="50075108" w14:textId="25AFDD0F" w:rsidR="001240D0" w:rsidRPr="00310D52" w:rsidRDefault="00654164" w:rsidP="00434602">
      <w:pPr>
        <w:spacing w:line="360" w:lineRule="auto"/>
        <w:jc w:val="center"/>
        <w:rPr>
          <w:rFonts w:eastAsia="Calibri"/>
          <w:szCs w:val="36"/>
          <w:lang w:val="es-DO"/>
        </w:rPr>
      </w:pPr>
      <w:r w:rsidRPr="00310D52">
        <w:rPr>
          <w:rFonts w:eastAsia="Calibri"/>
          <w:szCs w:val="36"/>
          <w:lang w:val="es-DO"/>
        </w:rPr>
        <w:t xml:space="preserve">Memoria </w:t>
      </w:r>
      <w:r w:rsidR="004A515E" w:rsidRPr="00310D52">
        <w:rPr>
          <w:rFonts w:eastAsia="Calibri"/>
          <w:szCs w:val="36"/>
          <w:lang w:val="es-DO"/>
        </w:rPr>
        <w:t>Institu</w:t>
      </w:r>
      <w:r w:rsidR="009A466A" w:rsidRPr="00310D52">
        <w:rPr>
          <w:rFonts w:eastAsia="Calibri"/>
          <w:szCs w:val="36"/>
          <w:lang w:val="es-DO"/>
        </w:rPr>
        <w:t>c</w:t>
      </w:r>
      <w:r w:rsidR="004A515E" w:rsidRPr="00310D52">
        <w:rPr>
          <w:rFonts w:eastAsia="Calibri"/>
          <w:szCs w:val="36"/>
          <w:lang w:val="es-DO"/>
        </w:rPr>
        <w:t>ional</w:t>
      </w:r>
      <w:r w:rsidR="001240D0" w:rsidRPr="00310D52">
        <w:rPr>
          <w:rFonts w:eastAsia="Calibri"/>
          <w:szCs w:val="36"/>
          <w:lang w:val="es-DO"/>
        </w:rPr>
        <w:t xml:space="preserve"> </w:t>
      </w:r>
      <w:r w:rsidR="007471AC" w:rsidRPr="00310D52">
        <w:rPr>
          <w:rFonts w:eastAsia="Calibri"/>
          <w:szCs w:val="36"/>
          <w:lang w:val="es-DO"/>
        </w:rPr>
        <w:t>202</w:t>
      </w:r>
      <w:r w:rsidR="0051332F" w:rsidRPr="00310D52">
        <w:rPr>
          <w:rFonts w:eastAsia="Calibri"/>
          <w:szCs w:val="36"/>
          <w:lang w:val="es-DO"/>
        </w:rPr>
        <w:t>5</w:t>
      </w:r>
    </w:p>
    <w:p w14:paraId="7CD26AB3" w14:textId="77777777" w:rsidR="00043D73" w:rsidRPr="00310D52" w:rsidRDefault="00043D73" w:rsidP="00434602">
      <w:pPr>
        <w:spacing w:line="360" w:lineRule="auto"/>
        <w:jc w:val="center"/>
        <w:rPr>
          <w:rFonts w:eastAsia="Calibri"/>
          <w:szCs w:val="36"/>
          <w:lang w:val="es-DO"/>
        </w:rPr>
      </w:pPr>
    </w:p>
    <w:p w14:paraId="43132367" w14:textId="788A1619" w:rsidR="009E6945" w:rsidRPr="00310D52" w:rsidRDefault="00043D73" w:rsidP="00434602">
      <w:pPr>
        <w:spacing w:line="360" w:lineRule="auto"/>
        <w:jc w:val="both"/>
        <w:rPr>
          <w:rFonts w:eastAsia="Calibri"/>
          <w:noProof/>
          <w:lang w:val="es-DO"/>
        </w:rPr>
      </w:pPr>
      <w:r w:rsidRPr="00310D52">
        <w:rPr>
          <w:rFonts w:eastAsia="Calibri"/>
          <w:noProof/>
          <w:lang w:val="es-DO"/>
        </w:rPr>
        <w:t>La</w:t>
      </w:r>
      <w:r w:rsidR="00225C91" w:rsidRPr="00310D52">
        <w:rPr>
          <w:rFonts w:eastAsia="Calibri"/>
          <w:noProof/>
          <w:lang w:val="es-DO"/>
        </w:rPr>
        <w:t xml:space="preserve"> </w:t>
      </w:r>
      <w:r w:rsidRPr="00310D52">
        <w:rPr>
          <w:rFonts w:eastAsia="Calibri"/>
          <w:noProof/>
          <w:lang w:val="es-DO"/>
        </w:rPr>
        <w:t>Dirección</w:t>
      </w:r>
      <w:r w:rsidR="00225C91" w:rsidRPr="00310D52">
        <w:rPr>
          <w:rFonts w:eastAsia="Calibri"/>
          <w:noProof/>
          <w:lang w:val="es-DO"/>
        </w:rPr>
        <w:t xml:space="preserve"> </w:t>
      </w:r>
      <w:r w:rsidRPr="00310D52">
        <w:rPr>
          <w:rFonts w:eastAsia="Calibri"/>
          <w:noProof/>
          <w:lang w:val="es-DO"/>
        </w:rPr>
        <w:t>de</w:t>
      </w:r>
      <w:r w:rsidR="00225C91" w:rsidRPr="00310D52">
        <w:rPr>
          <w:rFonts w:eastAsia="Calibri"/>
          <w:noProof/>
          <w:lang w:val="es-DO"/>
        </w:rPr>
        <w:t xml:space="preserve"> </w:t>
      </w:r>
      <w:r w:rsidRPr="00310D52">
        <w:rPr>
          <w:rFonts w:eastAsia="Calibri"/>
          <w:noProof/>
          <w:lang w:val="es-DO"/>
        </w:rPr>
        <w:t>Servicios</w:t>
      </w:r>
      <w:r w:rsidR="00225C91" w:rsidRPr="00310D52">
        <w:rPr>
          <w:rFonts w:eastAsia="Calibri"/>
          <w:noProof/>
          <w:lang w:val="es-DO"/>
        </w:rPr>
        <w:t xml:space="preserve"> </w:t>
      </w:r>
      <w:r w:rsidRPr="00310D52">
        <w:rPr>
          <w:rFonts w:eastAsia="Calibri"/>
          <w:noProof/>
          <w:lang w:val="es-DO"/>
        </w:rPr>
        <w:t>de</w:t>
      </w:r>
      <w:r w:rsidR="00225C91" w:rsidRPr="00310D52">
        <w:rPr>
          <w:rFonts w:eastAsia="Calibri"/>
          <w:noProof/>
          <w:lang w:val="es-DO"/>
        </w:rPr>
        <w:t xml:space="preserve"> </w:t>
      </w:r>
      <w:r w:rsidRPr="00310D52">
        <w:rPr>
          <w:rFonts w:eastAsia="Calibri"/>
          <w:noProof/>
          <w:lang w:val="es-DO"/>
        </w:rPr>
        <w:t>Atención</w:t>
      </w:r>
      <w:r w:rsidR="00225C91" w:rsidRPr="00310D52">
        <w:rPr>
          <w:rFonts w:eastAsia="Calibri"/>
          <w:noProof/>
          <w:lang w:val="es-DO"/>
        </w:rPr>
        <w:t xml:space="preserve"> </w:t>
      </w:r>
      <w:r w:rsidRPr="00310D52">
        <w:rPr>
          <w:rFonts w:eastAsia="Calibri"/>
          <w:noProof/>
          <w:lang w:val="es-DO"/>
        </w:rPr>
        <w:t>a</w:t>
      </w:r>
      <w:r w:rsidR="00225C91" w:rsidRPr="00310D52">
        <w:rPr>
          <w:rFonts w:eastAsia="Calibri"/>
          <w:noProof/>
          <w:lang w:val="es-DO"/>
        </w:rPr>
        <w:t xml:space="preserve"> </w:t>
      </w:r>
      <w:r w:rsidRPr="00310D52">
        <w:rPr>
          <w:rFonts w:eastAsia="Calibri"/>
          <w:noProof/>
          <w:lang w:val="es-DO"/>
        </w:rPr>
        <w:t>Emergencias</w:t>
      </w:r>
      <w:r w:rsidR="00225C91" w:rsidRPr="00310D52">
        <w:rPr>
          <w:rFonts w:eastAsia="Calibri"/>
          <w:noProof/>
          <w:lang w:val="es-DO"/>
        </w:rPr>
        <w:t xml:space="preserve"> </w:t>
      </w:r>
      <w:r w:rsidRPr="00310D52">
        <w:rPr>
          <w:rFonts w:eastAsia="Calibri"/>
          <w:noProof/>
          <w:lang w:val="es-DO"/>
        </w:rPr>
        <w:t>Extrahospitalaria</w:t>
      </w:r>
      <w:r w:rsidR="00225C91" w:rsidRPr="00310D52">
        <w:rPr>
          <w:rFonts w:eastAsia="Calibri"/>
          <w:noProof/>
          <w:lang w:val="es-DO"/>
        </w:rPr>
        <w:t xml:space="preserve"> (</w:t>
      </w:r>
      <w:r w:rsidRPr="00310D52">
        <w:rPr>
          <w:rFonts w:eastAsia="Calibri"/>
          <w:noProof/>
          <w:lang w:val="es-DO"/>
        </w:rPr>
        <w:t>DAEH</w:t>
      </w:r>
      <w:r w:rsidR="00225C91" w:rsidRPr="00310D52">
        <w:rPr>
          <w:rFonts w:eastAsia="Calibri"/>
          <w:noProof/>
          <w:lang w:val="es-DO"/>
        </w:rPr>
        <w:t>)</w:t>
      </w:r>
      <w:r w:rsidRPr="00310D52">
        <w:rPr>
          <w:rFonts w:eastAsia="Calibri"/>
          <w:noProof/>
          <w:lang w:val="es-DO"/>
        </w:rPr>
        <w:t xml:space="preserve">, como institución de servicios de atención directa a las personas para el  ámbito extrahospitalario </w:t>
      </w:r>
      <w:r w:rsidR="00B92191" w:rsidRPr="00310D52">
        <w:rPr>
          <w:rFonts w:eastAsia="Calibri"/>
          <w:noProof/>
          <w:lang w:val="es-DO"/>
        </w:rPr>
        <w:t>h</w:t>
      </w:r>
      <w:r w:rsidRPr="00310D52">
        <w:rPr>
          <w:rFonts w:eastAsia="Calibri"/>
          <w:noProof/>
          <w:lang w:val="es-DO"/>
        </w:rPr>
        <w:t>a trabajado</w:t>
      </w:r>
      <w:r w:rsidR="00FF0887" w:rsidRPr="00310D52">
        <w:rPr>
          <w:rFonts w:eastAsia="Calibri"/>
          <w:noProof/>
          <w:lang w:val="es-DO"/>
        </w:rPr>
        <w:t xml:space="preserve"> </w:t>
      </w:r>
      <w:r w:rsidRPr="00310D52">
        <w:rPr>
          <w:rFonts w:eastAsia="Calibri"/>
          <w:noProof/>
          <w:lang w:val="es-DO"/>
        </w:rPr>
        <w:t>en cumplimiento a los lineamientos establecidos, las políticas públicas,</w:t>
      </w:r>
      <w:r w:rsidR="00225C91" w:rsidRPr="00310D52">
        <w:rPr>
          <w:rFonts w:eastAsia="Calibri"/>
          <w:noProof/>
          <w:lang w:val="es-DO"/>
        </w:rPr>
        <w:t xml:space="preserve"> planificación estratégica e institucional </w:t>
      </w:r>
      <w:r w:rsidRPr="00310D52">
        <w:rPr>
          <w:rFonts w:eastAsia="Calibri"/>
          <w:noProof/>
          <w:lang w:val="es-DO"/>
        </w:rPr>
        <w:t xml:space="preserve">y su </w:t>
      </w:r>
      <w:r w:rsidR="00225C91" w:rsidRPr="00310D52">
        <w:rPr>
          <w:rFonts w:eastAsia="Calibri"/>
          <w:noProof/>
          <w:lang w:val="es-DO"/>
        </w:rPr>
        <w:t xml:space="preserve">plan operativo anual </w:t>
      </w:r>
      <w:r w:rsidRPr="00310D52">
        <w:rPr>
          <w:rFonts w:eastAsia="Calibri"/>
          <w:noProof/>
          <w:lang w:val="es-DO"/>
        </w:rPr>
        <w:t>del año 2025,</w:t>
      </w:r>
      <w:r w:rsidR="00B92191" w:rsidRPr="00310D52">
        <w:rPr>
          <w:rFonts w:eastAsia="Calibri"/>
          <w:noProof/>
          <w:lang w:val="es-DO"/>
        </w:rPr>
        <w:t xml:space="preserve"> </w:t>
      </w:r>
      <w:r w:rsidRPr="00310D52">
        <w:rPr>
          <w:rFonts w:eastAsia="Calibri"/>
          <w:noProof/>
          <w:lang w:val="es-DO"/>
        </w:rPr>
        <w:t>comprometida  con la eficiencia administrativa, la transparencia y brindar un mejor servicio, teniendo como meta la satisfacción de los ciudadanos y un traslado oportuno y de calidad. Presentamos los resultados de las actividades, logros y desafíos que condujeron el accionar de la institución durante el 2025.</w:t>
      </w:r>
    </w:p>
    <w:p w14:paraId="491FEFCB" w14:textId="60DEB37A" w:rsidR="00E952A5" w:rsidRPr="00310D52" w:rsidRDefault="00271134" w:rsidP="00434602">
      <w:pPr>
        <w:spacing w:line="360" w:lineRule="auto"/>
        <w:jc w:val="both"/>
        <w:rPr>
          <w:rFonts w:eastAsia="Calibri"/>
          <w:noProof/>
          <w:lang w:val="es-DO"/>
        </w:rPr>
      </w:pPr>
      <w:r w:rsidRPr="00310D52">
        <w:rPr>
          <w:rFonts w:eastAsia="Calibri"/>
          <w:noProof/>
          <w:lang w:val="es-DO"/>
        </w:rPr>
        <w:t>Se logró impactar directamente a la población, generando mas confianza en el servicio,</w:t>
      </w:r>
      <w:r w:rsidR="008358E8" w:rsidRPr="00310D52">
        <w:rPr>
          <w:rFonts w:eastAsia="Calibri"/>
          <w:noProof/>
          <w:lang w:val="es-DO"/>
        </w:rPr>
        <w:t xml:space="preserve"> </w:t>
      </w:r>
      <w:r w:rsidRPr="00310D52">
        <w:rPr>
          <w:rFonts w:eastAsia="Calibri"/>
          <w:noProof/>
          <w:lang w:val="es-DO"/>
        </w:rPr>
        <w:t xml:space="preserve">con la reducción significativa e importante de </w:t>
      </w:r>
      <w:r w:rsidR="0066103B" w:rsidRPr="00310D52">
        <w:rPr>
          <w:rFonts w:eastAsia="Calibri"/>
          <w:noProof/>
          <w:lang w:val="es-DO"/>
        </w:rPr>
        <w:t>3</w:t>
      </w:r>
      <w:r w:rsidRPr="00310D52">
        <w:rPr>
          <w:rFonts w:eastAsia="Calibri"/>
          <w:noProof/>
          <w:lang w:val="es-DO"/>
        </w:rPr>
        <w:t xml:space="preserve"> minutos </w:t>
      </w:r>
      <w:r w:rsidR="0066103B" w:rsidRPr="00310D52">
        <w:rPr>
          <w:rFonts w:eastAsia="Calibri"/>
          <w:noProof/>
          <w:lang w:val="es-DO"/>
        </w:rPr>
        <w:t>29</w:t>
      </w:r>
      <w:r w:rsidRPr="00310D52">
        <w:rPr>
          <w:rFonts w:eastAsia="Calibri"/>
          <w:noProof/>
          <w:lang w:val="es-DO"/>
        </w:rPr>
        <w:t xml:space="preserve"> segundos en el tiempo de respuesta (despacho-llegada) en relación al mes de </w:t>
      </w:r>
      <w:r w:rsidR="0066103B" w:rsidRPr="00310D52">
        <w:rPr>
          <w:rFonts w:eastAsia="Calibri"/>
          <w:noProof/>
          <w:lang w:val="es-DO"/>
        </w:rPr>
        <w:t>diciembre</w:t>
      </w:r>
      <w:r w:rsidRPr="00310D52">
        <w:rPr>
          <w:rFonts w:eastAsia="Calibri"/>
          <w:noProof/>
          <w:lang w:val="es-DO"/>
        </w:rPr>
        <w:t xml:space="preserve"> del </w:t>
      </w:r>
      <w:r w:rsidR="0066103B" w:rsidRPr="00310D52">
        <w:rPr>
          <w:rFonts w:eastAsia="Calibri"/>
          <w:noProof/>
          <w:lang w:val="es-DO"/>
        </w:rPr>
        <w:t>202</w:t>
      </w:r>
      <w:r w:rsidR="00341A6A" w:rsidRPr="00310D52">
        <w:rPr>
          <w:rFonts w:eastAsia="Calibri"/>
          <w:noProof/>
          <w:lang w:val="es-DO"/>
        </w:rPr>
        <w:t>4</w:t>
      </w:r>
      <w:r w:rsidRPr="00310D52">
        <w:rPr>
          <w:rFonts w:eastAsia="Calibri"/>
          <w:noProof/>
          <w:lang w:val="es-DO"/>
        </w:rPr>
        <w:t xml:space="preserve"> promedio ponderado</w:t>
      </w:r>
      <w:r w:rsidR="00341A6A" w:rsidRPr="00310D52">
        <w:rPr>
          <w:rFonts w:eastAsia="Calibri"/>
          <w:noProof/>
          <w:lang w:val="es-DO"/>
        </w:rPr>
        <w:t xml:space="preserve"> con tendencia a la baja</w:t>
      </w:r>
      <w:r w:rsidRPr="00310D52">
        <w:rPr>
          <w:rFonts w:eastAsia="Calibri"/>
          <w:noProof/>
          <w:lang w:val="es-DO"/>
        </w:rPr>
        <w:t>, marcando esto un gran precedente en la población a recibir el servicio de traslado oportuno. Esto impactando tambien en el aumento de la satisfacción del usuario a 90%</w:t>
      </w:r>
      <w:r w:rsidR="00225C91" w:rsidRPr="00310D52">
        <w:rPr>
          <w:rFonts w:eastAsia="Calibri"/>
          <w:noProof/>
          <w:lang w:val="es-DO"/>
        </w:rPr>
        <w:t xml:space="preserve"> en el </w:t>
      </w:r>
      <w:r w:rsidRPr="00310D52">
        <w:rPr>
          <w:rFonts w:eastAsia="Calibri"/>
          <w:noProof/>
          <w:lang w:val="es-DO"/>
        </w:rPr>
        <w:t>promedio en velocidad de respuesta, conocimiento y trato de la respuesta. Aumento de la cobertura de los servicios de atención</w:t>
      </w:r>
      <w:r w:rsidR="008B458A" w:rsidRPr="00310D52">
        <w:rPr>
          <w:rFonts w:eastAsia="Calibri"/>
          <w:noProof/>
          <w:lang w:val="es-DO"/>
        </w:rPr>
        <w:t xml:space="preserve"> </w:t>
      </w:r>
      <w:r w:rsidRPr="00310D52">
        <w:rPr>
          <w:rFonts w:eastAsia="Calibri"/>
          <w:noProof/>
          <w:lang w:val="es-DO"/>
        </w:rPr>
        <w:t>abarcando ya el 93% de la población dominicana. A través de la  red de atención prehospitalaria se mantuvo un nivel sostenido de activación y respuesta, registrando un total de  547,936 asistencias medicas  prehospitalarias a las personas que activaron el sistema 911, de las cuales 306,286 correspondieron a traslados hacia centros</w:t>
      </w:r>
      <w:r w:rsidR="008B458A" w:rsidRPr="00310D52">
        <w:rPr>
          <w:rFonts w:eastAsia="Calibri"/>
          <w:noProof/>
          <w:lang w:val="es-DO"/>
        </w:rPr>
        <w:t xml:space="preserve"> </w:t>
      </w:r>
      <w:r w:rsidRPr="00310D52">
        <w:rPr>
          <w:rFonts w:eastAsia="Calibri"/>
          <w:noProof/>
          <w:lang w:val="es-DO"/>
        </w:rPr>
        <w:t>de salud, representando el 56% del total de casos. Esto logrado con una</w:t>
      </w:r>
      <w:r w:rsidR="00FF0887" w:rsidRPr="00310D52">
        <w:rPr>
          <w:rFonts w:eastAsia="Calibri"/>
          <w:noProof/>
          <w:lang w:val="es-DO"/>
        </w:rPr>
        <w:t xml:space="preserve"> </w:t>
      </w:r>
      <w:r w:rsidRPr="00310D52">
        <w:rPr>
          <w:rFonts w:eastAsia="Calibri"/>
          <w:noProof/>
          <w:lang w:val="es-DO"/>
        </w:rPr>
        <w:lastRenderedPageBreak/>
        <w:t>ejecución</w:t>
      </w:r>
      <w:r w:rsidR="00FF0887" w:rsidRPr="00310D52">
        <w:rPr>
          <w:rFonts w:eastAsia="Calibri"/>
          <w:noProof/>
          <w:lang w:val="es-DO"/>
        </w:rPr>
        <w:t xml:space="preserve"> </w:t>
      </w:r>
      <w:r w:rsidRPr="00310D52">
        <w:rPr>
          <w:rFonts w:eastAsia="Calibri"/>
          <w:noProof/>
          <w:lang w:val="es-DO"/>
        </w:rPr>
        <w:t xml:space="preserve">presupuestaria ascendente </w:t>
      </w:r>
      <w:r w:rsidR="00225C91" w:rsidRPr="00310D52">
        <w:rPr>
          <w:rFonts w:eastAsia="Calibri"/>
          <w:noProof/>
          <w:lang w:val="es-DO"/>
        </w:rPr>
        <w:t xml:space="preserve">a </w:t>
      </w:r>
      <w:r w:rsidRPr="00310D52">
        <w:rPr>
          <w:rFonts w:eastAsia="Calibri"/>
          <w:noProof/>
          <w:lang w:val="es-DO"/>
        </w:rPr>
        <w:t>RD$</w:t>
      </w:r>
      <w:r w:rsidR="00225C91" w:rsidRPr="00310D52">
        <w:rPr>
          <w:rFonts w:eastAsia="Calibri"/>
          <w:noProof/>
          <w:lang w:val="es-DO"/>
        </w:rPr>
        <w:t xml:space="preserve">1,348,771,761.72. </w:t>
      </w:r>
      <w:r w:rsidRPr="00310D52">
        <w:rPr>
          <w:rFonts w:eastAsia="Calibri"/>
          <w:noProof/>
          <w:lang w:val="es-DO"/>
        </w:rPr>
        <w:t>Este servicio benefició a una población estimada de 10,263,940</w:t>
      </w:r>
      <w:r w:rsidR="00225C91" w:rsidRPr="00310D52">
        <w:rPr>
          <w:rFonts w:eastAsia="Calibri"/>
          <w:noProof/>
          <w:lang w:val="es-DO"/>
        </w:rPr>
        <w:t xml:space="preserve"> </w:t>
      </w:r>
      <w:r w:rsidRPr="00310D52">
        <w:rPr>
          <w:rFonts w:eastAsia="Calibri"/>
          <w:noProof/>
          <w:lang w:val="es-DO"/>
        </w:rPr>
        <w:t>habitantes, correspondiente a las provincias donde opera el 9-1-1.</w:t>
      </w:r>
    </w:p>
    <w:p w14:paraId="6343214B" w14:textId="5117CB9B" w:rsidR="006C7155" w:rsidRPr="00310D52" w:rsidRDefault="00043D73" w:rsidP="00434602">
      <w:pPr>
        <w:spacing w:line="360" w:lineRule="auto"/>
        <w:jc w:val="both"/>
        <w:rPr>
          <w:rFonts w:eastAsia="Calibri"/>
          <w:noProof/>
          <w:lang w:val="es-DO"/>
        </w:rPr>
      </w:pPr>
      <w:r w:rsidRPr="00310D52">
        <w:rPr>
          <w:rFonts w:eastAsia="Calibri"/>
          <w:noProof/>
          <w:lang w:val="es-DO"/>
        </w:rPr>
        <w:t>Los traslados interhospitalarios constituyeron un componente esencial para garantizar la continuidad del cuidado del paciente, alcanzando más de 65,286 traslados de pacientes desde centros de menor capacidad hacia establecimientos de mayor complejidad o para la realización de estudios diagnósticos especializados. Esta labor se desarrolló</w:t>
      </w:r>
      <w:r w:rsidR="008B458A" w:rsidRPr="00310D52">
        <w:rPr>
          <w:rFonts w:eastAsia="Calibri"/>
          <w:noProof/>
          <w:lang w:val="es-DO"/>
        </w:rPr>
        <w:t xml:space="preserve"> </w:t>
      </w:r>
      <w:r w:rsidRPr="00310D52">
        <w:rPr>
          <w:rFonts w:eastAsia="Calibri"/>
          <w:noProof/>
          <w:lang w:val="es-DO"/>
        </w:rPr>
        <w:t>con</w:t>
      </w:r>
      <w:r w:rsidR="008B458A" w:rsidRPr="00310D52">
        <w:rPr>
          <w:rFonts w:eastAsia="Calibri"/>
          <w:noProof/>
          <w:lang w:val="es-DO"/>
        </w:rPr>
        <w:t xml:space="preserve"> </w:t>
      </w:r>
      <w:r w:rsidRPr="00310D52">
        <w:rPr>
          <w:rFonts w:eastAsia="Calibri"/>
          <w:noProof/>
          <w:lang w:val="es-DO"/>
        </w:rPr>
        <w:t>una</w:t>
      </w:r>
      <w:r w:rsidR="008B458A" w:rsidRPr="00310D52">
        <w:rPr>
          <w:rFonts w:eastAsia="Calibri"/>
          <w:noProof/>
          <w:lang w:val="es-DO"/>
        </w:rPr>
        <w:t xml:space="preserve"> </w:t>
      </w:r>
      <w:r w:rsidRPr="00310D52">
        <w:rPr>
          <w:rFonts w:eastAsia="Calibri"/>
          <w:noProof/>
          <w:lang w:val="es-DO"/>
        </w:rPr>
        <w:t>ejecución</w:t>
      </w:r>
      <w:r w:rsidR="008B458A" w:rsidRPr="00310D52">
        <w:rPr>
          <w:rFonts w:eastAsia="Calibri"/>
          <w:noProof/>
          <w:lang w:val="es-DO"/>
        </w:rPr>
        <w:t xml:space="preserve"> </w:t>
      </w:r>
      <w:r w:rsidRPr="00310D52">
        <w:rPr>
          <w:rFonts w:eastAsia="Calibri"/>
          <w:noProof/>
          <w:lang w:val="es-DO"/>
        </w:rPr>
        <w:t>presupuestaria</w:t>
      </w:r>
      <w:r w:rsidR="008B458A" w:rsidRPr="00310D52">
        <w:rPr>
          <w:rFonts w:eastAsia="Calibri"/>
          <w:noProof/>
          <w:lang w:val="es-DO"/>
        </w:rPr>
        <w:t xml:space="preserve"> </w:t>
      </w:r>
      <w:r w:rsidRPr="00310D52">
        <w:rPr>
          <w:rFonts w:eastAsia="Calibri"/>
          <w:noProof/>
          <w:lang w:val="es-DO"/>
        </w:rPr>
        <w:t>de</w:t>
      </w:r>
      <w:r w:rsidR="008B458A" w:rsidRPr="00310D52">
        <w:rPr>
          <w:rFonts w:eastAsia="Calibri"/>
          <w:noProof/>
          <w:lang w:val="es-DO"/>
        </w:rPr>
        <w:t xml:space="preserve"> </w:t>
      </w:r>
      <w:r w:rsidRPr="00310D52">
        <w:rPr>
          <w:rFonts w:eastAsia="Calibri"/>
          <w:noProof/>
          <w:lang w:val="es-DO"/>
        </w:rPr>
        <w:t>RD$</w:t>
      </w:r>
      <w:r w:rsidR="008B458A" w:rsidRPr="00310D52">
        <w:rPr>
          <w:lang w:val="es-ES"/>
        </w:rPr>
        <w:t xml:space="preserve"> </w:t>
      </w:r>
      <w:r w:rsidR="008B458A" w:rsidRPr="00310D52">
        <w:rPr>
          <w:rFonts w:eastAsia="Calibri"/>
          <w:noProof/>
          <w:lang w:val="es-DO"/>
        </w:rPr>
        <w:t xml:space="preserve">RD$575,898,274.73, </w:t>
      </w:r>
      <w:r w:rsidRPr="00310D52">
        <w:rPr>
          <w:rFonts w:eastAsia="Calibri"/>
          <w:noProof/>
          <w:lang w:val="es-DO"/>
        </w:rPr>
        <w:t>beneficiando</w:t>
      </w:r>
      <w:r w:rsidR="008B458A" w:rsidRPr="00310D52">
        <w:rPr>
          <w:rFonts w:eastAsia="Calibri"/>
          <w:noProof/>
          <w:lang w:val="es-DO"/>
        </w:rPr>
        <w:t xml:space="preserve"> </w:t>
      </w:r>
      <w:r w:rsidRPr="00310D52">
        <w:rPr>
          <w:rFonts w:eastAsia="Calibri"/>
          <w:noProof/>
          <w:lang w:val="es-DO"/>
        </w:rPr>
        <w:t>a</w:t>
      </w:r>
      <w:r w:rsidR="008B458A" w:rsidRPr="00310D52">
        <w:rPr>
          <w:rFonts w:eastAsia="Calibri"/>
          <w:noProof/>
          <w:lang w:val="es-DO"/>
        </w:rPr>
        <w:t xml:space="preserve"> </w:t>
      </w:r>
      <w:r w:rsidRPr="00310D52">
        <w:rPr>
          <w:rFonts w:eastAsia="Calibri"/>
          <w:noProof/>
          <w:lang w:val="es-DO"/>
        </w:rPr>
        <w:t>una población estimada de 10,760,028 habitantes en las 32 provincias del país,</w:t>
      </w:r>
      <w:r w:rsidR="008B458A" w:rsidRPr="00310D52">
        <w:rPr>
          <w:rFonts w:eastAsia="Calibri"/>
          <w:noProof/>
          <w:lang w:val="es-DO"/>
        </w:rPr>
        <w:t xml:space="preserve"> </w:t>
      </w:r>
      <w:r w:rsidRPr="00310D52">
        <w:rPr>
          <w:rFonts w:eastAsia="Calibri"/>
          <w:noProof/>
          <w:lang w:val="es-DO"/>
        </w:rPr>
        <w:t>asegurando acceso oportuno y equitativo a servicios de mayor nivel resolutivo. La DAEH ha brindado cobertura a la llegada de 43 cruceros en Cabo</w:t>
      </w:r>
      <w:r w:rsidR="008B458A" w:rsidRPr="00310D52">
        <w:rPr>
          <w:rFonts w:eastAsia="Calibri"/>
          <w:noProof/>
          <w:lang w:val="es-DO"/>
        </w:rPr>
        <w:t xml:space="preserve"> </w:t>
      </w:r>
      <w:r w:rsidRPr="00310D52">
        <w:rPr>
          <w:rFonts w:eastAsia="Calibri"/>
          <w:noProof/>
          <w:lang w:val="es-DO"/>
        </w:rPr>
        <w:t xml:space="preserve">Rojo, Pedernales, durante el período enero–diciembre de 2025. Estos cruceros transportaron un total de 168,970 turistas, de los cuales 76 recibieron asistencia </w:t>
      </w:r>
      <w:r w:rsidR="005B472D" w:rsidRPr="00310D52">
        <w:rPr>
          <w:rFonts w:eastAsia="Calibri"/>
          <w:noProof/>
          <w:lang w:val="es-DO"/>
        </w:rPr>
        <w:t>de emergencias</w:t>
      </w:r>
      <w:r w:rsidRPr="00310D52">
        <w:rPr>
          <w:rFonts w:eastAsia="Calibri"/>
          <w:noProof/>
          <w:lang w:val="es-DO"/>
        </w:rPr>
        <w:t xml:space="preserve"> oportuna.</w:t>
      </w:r>
    </w:p>
    <w:p w14:paraId="2DB5ED78" w14:textId="0EC652A5" w:rsidR="00043D73" w:rsidRPr="00310D52" w:rsidRDefault="00043D73" w:rsidP="00434602">
      <w:pPr>
        <w:spacing w:line="360" w:lineRule="auto"/>
        <w:jc w:val="both"/>
        <w:rPr>
          <w:rFonts w:eastAsia="Calibri"/>
          <w:noProof/>
          <w:lang w:val="es-DO"/>
        </w:rPr>
      </w:pPr>
      <w:r w:rsidRPr="00310D52">
        <w:rPr>
          <w:rFonts w:eastAsia="Calibri"/>
          <w:noProof/>
          <w:lang w:val="es-DO"/>
        </w:rPr>
        <w:t>Ampliaci</w:t>
      </w:r>
      <w:r w:rsidR="00225C91" w:rsidRPr="00310D52">
        <w:rPr>
          <w:rFonts w:eastAsia="Calibri"/>
          <w:noProof/>
          <w:lang w:val="es-DO"/>
        </w:rPr>
        <w:t>ó</w:t>
      </w:r>
      <w:r w:rsidRPr="00310D52">
        <w:rPr>
          <w:rFonts w:eastAsia="Calibri"/>
          <w:noProof/>
          <w:lang w:val="es-DO"/>
        </w:rPr>
        <w:t xml:space="preserve">n de la capacidad de  respuesta operativa con la </w:t>
      </w:r>
      <w:r w:rsidR="008B458A" w:rsidRPr="00310D52">
        <w:rPr>
          <w:rFonts w:eastAsia="Calibri"/>
          <w:noProof/>
          <w:lang w:val="es-DO"/>
        </w:rPr>
        <w:t xml:space="preserve">integración </w:t>
      </w:r>
      <w:r w:rsidRPr="00310D52">
        <w:rPr>
          <w:rFonts w:eastAsia="Calibri"/>
          <w:noProof/>
          <w:lang w:val="es-DO"/>
        </w:rPr>
        <w:t xml:space="preserve">de 235 nuevas ambulancias a la flotilla nacional durante el 2025, tanto en áreas urbanas como rurales, por lo que sumamos 830 ambulancias y 122 </w:t>
      </w:r>
      <w:r w:rsidR="008B458A" w:rsidRPr="00310D52">
        <w:rPr>
          <w:rFonts w:eastAsia="Calibri"/>
          <w:noProof/>
          <w:lang w:val="es-DO"/>
        </w:rPr>
        <w:t xml:space="preserve">unidades </w:t>
      </w:r>
      <w:r w:rsidRPr="00310D52">
        <w:rPr>
          <w:rFonts w:eastAsia="Calibri"/>
          <w:noProof/>
          <w:lang w:val="es-DO"/>
        </w:rPr>
        <w:t>de respuesta inmediata (URI)</w:t>
      </w:r>
      <w:r w:rsidR="008B458A" w:rsidRPr="00310D52">
        <w:rPr>
          <w:rFonts w:eastAsia="Calibri"/>
          <w:noProof/>
          <w:lang w:val="es-DO"/>
        </w:rPr>
        <w:t xml:space="preserve"> </w:t>
      </w:r>
      <w:r w:rsidRPr="00310D52">
        <w:rPr>
          <w:rFonts w:eastAsia="Calibri"/>
          <w:noProof/>
          <w:lang w:val="es-DO"/>
        </w:rPr>
        <w:t>a nivel nacional. Reducci</w:t>
      </w:r>
      <w:r w:rsidR="00B92191" w:rsidRPr="00310D52">
        <w:rPr>
          <w:rFonts w:eastAsia="Calibri"/>
          <w:noProof/>
          <w:lang w:val="es-DO"/>
        </w:rPr>
        <w:t>ó</w:t>
      </w:r>
      <w:r w:rsidRPr="00310D52">
        <w:rPr>
          <w:rFonts w:eastAsia="Calibri"/>
          <w:noProof/>
          <w:lang w:val="es-DO"/>
        </w:rPr>
        <w:t xml:space="preserve">n de la  brechas operativas, con el aumento de cobertura de las preposiciones disponibles a un 92.3% a nivel nacional. Mejora en la disponibilidad de unidades durante turnos de alta demanda. La distribución operativa de estas unidades permitió habilitar nuevas preposiciones prehospitalarias en Santo Domingo (1), San Cristóbal (2), Peravia (1), Duarte (1) y Barahona (1). Asimismo, en el componente interhospitalario se incorporaron unidades en Santo Domingo (2), La Vega (1), Monseñor Nouel (1), Sánchez Ramírez (2), San Pedro de Macorís (5), Hato Mayor (2), Monte Plata (2), La Romana (2), Puerto Plata (2), Espaillat (1), </w:t>
      </w:r>
      <w:r w:rsidRPr="00310D52">
        <w:rPr>
          <w:rFonts w:eastAsia="Calibri"/>
          <w:noProof/>
          <w:lang w:val="es-DO"/>
        </w:rPr>
        <w:lastRenderedPageBreak/>
        <w:t>Duarte (1), Pedernales (1), Santiago Rodríguez (3) y San Cristóbal (1), reforzando de manera estratégica la red de traslados sanitarios</w:t>
      </w:r>
    </w:p>
    <w:p w14:paraId="5678D612" w14:textId="2E9C25E9" w:rsidR="0018699B" w:rsidRPr="00310D52" w:rsidRDefault="0018699B" w:rsidP="00434602">
      <w:pPr>
        <w:spacing w:line="360" w:lineRule="auto"/>
        <w:jc w:val="both"/>
        <w:rPr>
          <w:rFonts w:eastAsia="Calibri"/>
          <w:noProof/>
          <w:lang w:val="es-DO"/>
        </w:rPr>
      </w:pPr>
      <w:r w:rsidRPr="00310D52">
        <w:rPr>
          <w:rFonts w:eastAsia="Calibri"/>
          <w:noProof/>
          <w:lang w:val="es-DO"/>
        </w:rPr>
        <w:t>Expansión de la cobertura territorial.</w:t>
      </w:r>
      <w:r w:rsidR="00B855FE" w:rsidRPr="00310D52">
        <w:rPr>
          <w:rFonts w:eastAsia="Calibri"/>
          <w:noProof/>
          <w:lang w:val="es-DO"/>
        </w:rPr>
        <w:t xml:space="preserve"> </w:t>
      </w:r>
      <w:r w:rsidRPr="00310D52">
        <w:rPr>
          <w:rFonts w:eastAsia="Calibri"/>
          <w:noProof/>
          <w:lang w:val="es-DO"/>
        </w:rPr>
        <w:t>En el marco de la expansión del Sistema Nacional de Atención a Emergencias y Seguridad 9</w:t>
      </w:r>
      <w:r w:rsidR="008358E8" w:rsidRPr="00310D52">
        <w:rPr>
          <w:rFonts w:eastAsia="Calibri"/>
          <w:noProof/>
          <w:lang w:val="es-DO"/>
        </w:rPr>
        <w:t>-</w:t>
      </w:r>
      <w:r w:rsidRPr="00310D52">
        <w:rPr>
          <w:rFonts w:eastAsia="Calibri"/>
          <w:noProof/>
          <w:lang w:val="es-DO"/>
        </w:rPr>
        <w:t>1</w:t>
      </w:r>
      <w:r w:rsidR="008358E8" w:rsidRPr="00310D52">
        <w:rPr>
          <w:rFonts w:eastAsia="Calibri"/>
          <w:noProof/>
          <w:lang w:val="es-DO"/>
        </w:rPr>
        <w:t>-</w:t>
      </w:r>
      <w:r w:rsidRPr="00310D52">
        <w:rPr>
          <w:rFonts w:eastAsia="Calibri"/>
          <w:noProof/>
          <w:lang w:val="es-DO"/>
        </w:rPr>
        <w:t>1, la DAEH puso en funcionamiento</w:t>
      </w:r>
      <w:r w:rsidR="008B458A" w:rsidRPr="00310D52">
        <w:rPr>
          <w:rFonts w:eastAsia="Calibri"/>
          <w:noProof/>
          <w:lang w:val="es-DO"/>
        </w:rPr>
        <w:t xml:space="preserve"> </w:t>
      </w:r>
      <w:r w:rsidRPr="00310D52">
        <w:rPr>
          <w:rFonts w:eastAsia="Calibri"/>
          <w:noProof/>
          <w:lang w:val="es-DO"/>
        </w:rPr>
        <w:t>la nueva</w:t>
      </w:r>
      <w:r w:rsidR="008B458A" w:rsidRPr="00310D52">
        <w:rPr>
          <w:rFonts w:eastAsia="Calibri"/>
          <w:noProof/>
          <w:lang w:val="es-DO"/>
        </w:rPr>
        <w:t xml:space="preserve"> </w:t>
      </w:r>
      <w:r w:rsidRPr="00310D52">
        <w:rPr>
          <w:rFonts w:eastAsia="Calibri"/>
          <w:noProof/>
          <w:lang w:val="es-DO"/>
        </w:rPr>
        <w:t>base operativa</w:t>
      </w:r>
      <w:r w:rsidR="008B458A" w:rsidRPr="00310D52">
        <w:rPr>
          <w:rFonts w:eastAsia="Calibri"/>
          <w:noProof/>
          <w:lang w:val="es-DO"/>
        </w:rPr>
        <w:t xml:space="preserve"> </w:t>
      </w:r>
      <w:r w:rsidRPr="00310D52">
        <w:rPr>
          <w:rFonts w:eastAsia="Calibri"/>
          <w:noProof/>
          <w:lang w:val="es-DO"/>
        </w:rPr>
        <w:t>en la provincia de Pedernales, desde donde se coordinan las labores</w:t>
      </w:r>
      <w:r w:rsidR="008B458A" w:rsidRPr="00310D52">
        <w:rPr>
          <w:rFonts w:eastAsia="Calibri"/>
          <w:noProof/>
          <w:lang w:val="es-DO"/>
        </w:rPr>
        <w:t xml:space="preserve"> </w:t>
      </w:r>
      <w:r w:rsidRPr="00310D52">
        <w:rPr>
          <w:rFonts w:eastAsia="Calibri"/>
          <w:noProof/>
          <w:lang w:val="es-DO"/>
        </w:rPr>
        <w:t>administrativas, logísticas y de respuesta ante emergencias. Como parte de esta ampliación, se integraron 13</w:t>
      </w:r>
      <w:r w:rsidR="008B458A" w:rsidRPr="00310D52">
        <w:rPr>
          <w:rFonts w:eastAsia="Calibri"/>
          <w:noProof/>
          <w:lang w:val="es-DO"/>
        </w:rPr>
        <w:t xml:space="preserve"> </w:t>
      </w:r>
      <w:r w:rsidRPr="00310D52">
        <w:rPr>
          <w:rFonts w:eastAsia="Calibri"/>
          <w:noProof/>
          <w:lang w:val="es-DO"/>
        </w:rPr>
        <w:t xml:space="preserve">ambulancias totalmente equipadas, distribuidas en puntos estratégicos, incluido el corredor turístico de </w:t>
      </w:r>
      <w:r w:rsidR="008B458A" w:rsidRPr="00310D52">
        <w:rPr>
          <w:rFonts w:eastAsia="Calibri"/>
          <w:noProof/>
          <w:lang w:val="es-DO"/>
        </w:rPr>
        <w:t>cabo rojo</w:t>
      </w:r>
      <w:r w:rsidRPr="00310D52">
        <w:rPr>
          <w:rFonts w:eastAsia="Calibri"/>
          <w:noProof/>
          <w:lang w:val="es-DO"/>
        </w:rPr>
        <w:t>, con el propósito de</w:t>
      </w:r>
      <w:r w:rsidR="008B458A" w:rsidRPr="00310D52">
        <w:rPr>
          <w:rFonts w:eastAsia="Calibri"/>
          <w:noProof/>
          <w:lang w:val="es-DO"/>
        </w:rPr>
        <w:t xml:space="preserve"> </w:t>
      </w:r>
      <w:r w:rsidRPr="00310D52">
        <w:rPr>
          <w:rFonts w:eastAsia="Calibri"/>
          <w:noProof/>
          <w:lang w:val="es-DO"/>
        </w:rPr>
        <w:t>garantizar atención prehospitalaria oportuna y permanente.</w:t>
      </w:r>
    </w:p>
    <w:p w14:paraId="4A3B167E" w14:textId="13699C55" w:rsidR="00043D73" w:rsidRPr="00310D52" w:rsidRDefault="00043D73" w:rsidP="00434602">
      <w:pPr>
        <w:spacing w:line="360" w:lineRule="auto"/>
        <w:jc w:val="both"/>
        <w:rPr>
          <w:rFonts w:eastAsia="Calibri"/>
          <w:noProof/>
          <w:lang w:val="es-DO"/>
        </w:rPr>
      </w:pPr>
      <w:r w:rsidRPr="00310D52">
        <w:rPr>
          <w:rFonts w:eastAsia="Calibri"/>
          <w:noProof/>
          <w:lang w:val="es-DO"/>
        </w:rPr>
        <w:t xml:space="preserve">Para </w:t>
      </w:r>
      <w:r w:rsidR="008B458A" w:rsidRPr="00310D52">
        <w:rPr>
          <w:rFonts w:eastAsia="Calibri"/>
          <w:noProof/>
          <w:lang w:val="es-DO"/>
        </w:rPr>
        <w:t xml:space="preserve">calidad </w:t>
      </w:r>
      <w:r w:rsidRPr="00310D52">
        <w:rPr>
          <w:rFonts w:eastAsia="Calibri"/>
          <w:noProof/>
          <w:lang w:val="es-DO"/>
        </w:rPr>
        <w:t xml:space="preserve">y </w:t>
      </w:r>
      <w:r w:rsidR="008B458A" w:rsidRPr="00310D52">
        <w:rPr>
          <w:rFonts w:eastAsia="Calibri"/>
          <w:noProof/>
          <w:lang w:val="es-DO"/>
        </w:rPr>
        <w:t xml:space="preserve">seguridad </w:t>
      </w:r>
      <w:r w:rsidRPr="00310D52">
        <w:rPr>
          <w:rFonts w:eastAsia="Calibri"/>
          <w:noProof/>
          <w:lang w:val="es-DO"/>
        </w:rPr>
        <w:t xml:space="preserve">del </w:t>
      </w:r>
      <w:r w:rsidR="008B458A" w:rsidRPr="00310D52">
        <w:rPr>
          <w:rFonts w:eastAsia="Calibri"/>
          <w:noProof/>
          <w:lang w:val="es-DO"/>
        </w:rPr>
        <w:t xml:space="preserve">paciente </w:t>
      </w:r>
      <w:r w:rsidRPr="00310D52">
        <w:rPr>
          <w:rFonts w:eastAsia="Calibri"/>
          <w:noProof/>
          <w:lang w:val="es-DO"/>
        </w:rPr>
        <w:t>fueron desarrolladas acciones orientadas a la prevención, preparación y respuesta ante emergencias con talleres especializados en primeros auxilios, emergencias de origen natural y evacuación dirigidos a las brigadas de respuesta de la DAEH y los CRUE a nivel nacional, junto con capacitaciones teórico-prácticas en combate contra incendios y manejo de eventos naturales y antrópicos. Como parte del apoyo directo a la ciudadanía, se instalaron carpas médicas en actividades masivas en</w:t>
      </w:r>
      <w:r w:rsidR="008B458A" w:rsidRPr="00310D52">
        <w:rPr>
          <w:rFonts w:eastAsia="Calibri"/>
          <w:noProof/>
          <w:lang w:val="es-DO"/>
        </w:rPr>
        <w:t>:</w:t>
      </w:r>
      <w:r w:rsidRPr="00310D52">
        <w:rPr>
          <w:rFonts w:eastAsia="Calibri"/>
          <w:noProof/>
          <w:lang w:val="es-DO"/>
        </w:rPr>
        <w:t xml:space="preserve"> Santo Domingo, Santiago y Bonao, donde se brindó asistencia a 127 personas que demandaron atenci</w:t>
      </w:r>
      <w:r w:rsidR="00B92191" w:rsidRPr="00310D52">
        <w:rPr>
          <w:rFonts w:eastAsia="Calibri"/>
          <w:noProof/>
          <w:lang w:val="es-DO"/>
        </w:rPr>
        <w:t>ó</w:t>
      </w:r>
      <w:r w:rsidRPr="00310D52">
        <w:rPr>
          <w:rFonts w:eastAsia="Calibri"/>
          <w:noProof/>
          <w:lang w:val="es-DO"/>
        </w:rPr>
        <w:t xml:space="preserve">n. En desarrollo de las  capacidades técnicas tuvo un impacto nacional, logrando capacitar a 16,301 personas entre colaboradores asistenciales y población general, mediante el “Programa Cuidando Vidas”. Además, se ejecutaron entrenamientos masivos durante la Feria Internacional del Libro, atraves de nuestro  programa “Mano Solo Mano” logrando impactar a 3,124 personas, reforzando conocimientos en reanimación cardiopulmonar. Estas iniciativas evidencian un compromiso sostenido con el desarrollo técnico, la estandarización de </w:t>
      </w:r>
      <w:r w:rsidRPr="00310D52">
        <w:rPr>
          <w:rFonts w:eastAsia="Calibri"/>
          <w:noProof/>
          <w:lang w:val="es-DO"/>
        </w:rPr>
        <w:lastRenderedPageBreak/>
        <w:t>competencias y la mejora continua de la capacidad operativa institucional.</w:t>
      </w:r>
    </w:p>
    <w:p w14:paraId="71D82863" w14:textId="17ABC77E" w:rsidR="00103C33" w:rsidRPr="00310D52" w:rsidRDefault="001441F3" w:rsidP="00434602">
      <w:pPr>
        <w:spacing w:line="360" w:lineRule="auto"/>
        <w:jc w:val="both"/>
        <w:rPr>
          <w:rFonts w:eastAsia="Calibri"/>
          <w:noProof/>
          <w:lang w:val="es-DO"/>
        </w:rPr>
      </w:pPr>
      <w:r w:rsidRPr="00310D52">
        <w:rPr>
          <w:rFonts w:eastAsia="Calibri"/>
          <w:noProof/>
          <w:lang w:val="es-DO"/>
        </w:rPr>
        <w:t>Se consolid</w:t>
      </w:r>
      <w:r w:rsidR="001A60AA" w:rsidRPr="00310D52">
        <w:rPr>
          <w:rFonts w:eastAsia="Calibri"/>
          <w:noProof/>
          <w:lang w:val="es-DO"/>
        </w:rPr>
        <w:t>ó</w:t>
      </w:r>
      <w:r w:rsidRPr="00310D52">
        <w:rPr>
          <w:rFonts w:eastAsia="Calibri"/>
          <w:noProof/>
          <w:lang w:val="es-DO"/>
        </w:rPr>
        <w:t xml:space="preserve"> un proceso de coordinaci</w:t>
      </w:r>
      <w:r w:rsidR="004126E1" w:rsidRPr="00310D52">
        <w:rPr>
          <w:rFonts w:eastAsia="Calibri"/>
          <w:noProof/>
          <w:lang w:val="es-DO"/>
        </w:rPr>
        <w:t>ó</w:t>
      </w:r>
      <w:r w:rsidRPr="00310D52">
        <w:rPr>
          <w:rFonts w:eastAsia="Calibri"/>
          <w:noProof/>
          <w:lang w:val="es-DO"/>
        </w:rPr>
        <w:t>n y  enlace interinstitucional con la red de servicios de salud, mediante la creación de mesas de coordinación con acciones clave para fortalecer la articulación operativa entre la atención extrahospitalaria, los centros de salud y las instituciones aliadas, que permitieron avanzar en la revisión y actualización de lineamientos asistenciales, logrando la liberación de más de 5,200 ambulancias retenidas durante el año  en centros de salud, a trav</w:t>
      </w:r>
      <w:r w:rsidR="008B458A" w:rsidRPr="00310D52">
        <w:rPr>
          <w:rFonts w:eastAsia="Calibri"/>
          <w:noProof/>
          <w:lang w:val="es-DO"/>
        </w:rPr>
        <w:t>é</w:t>
      </w:r>
      <w:r w:rsidRPr="00310D52">
        <w:rPr>
          <w:rFonts w:eastAsia="Calibri"/>
          <w:noProof/>
          <w:lang w:val="es-DO"/>
        </w:rPr>
        <w:t>s del monitoreo permanente del  sistema de alertas autom</w:t>
      </w:r>
      <w:r w:rsidR="008B458A" w:rsidRPr="00310D52">
        <w:rPr>
          <w:rFonts w:eastAsia="Calibri"/>
          <w:noProof/>
          <w:lang w:val="es-DO"/>
        </w:rPr>
        <w:t>á</w:t>
      </w:r>
      <w:r w:rsidRPr="00310D52">
        <w:rPr>
          <w:rFonts w:eastAsia="Calibri"/>
          <w:noProof/>
          <w:lang w:val="es-DO"/>
        </w:rPr>
        <w:t>ticas propio implementado que informa a áreas operativas</w:t>
      </w:r>
      <w:r w:rsidR="00D0435C">
        <w:rPr>
          <w:rFonts w:eastAsia="Calibri"/>
          <w:noProof/>
          <w:lang w:val="es-DO"/>
        </w:rPr>
        <w:t xml:space="preserve"> </w:t>
      </w:r>
      <w:r w:rsidRPr="00310D52">
        <w:rPr>
          <w:rFonts w:eastAsia="Calibri"/>
          <w:noProof/>
          <w:lang w:val="es-DO"/>
        </w:rPr>
        <w:t>sobre</w:t>
      </w:r>
      <w:r w:rsidR="00D0435C">
        <w:rPr>
          <w:rFonts w:eastAsia="Calibri"/>
          <w:noProof/>
          <w:lang w:val="es-DO"/>
        </w:rPr>
        <w:t xml:space="preserve"> </w:t>
      </w:r>
      <w:r w:rsidRPr="00310D52">
        <w:rPr>
          <w:rFonts w:eastAsia="Calibri"/>
          <w:noProof/>
          <w:lang w:val="es-DO"/>
        </w:rPr>
        <w:t>ambulancias</w:t>
      </w:r>
      <w:r w:rsidR="00D0435C">
        <w:rPr>
          <w:rFonts w:eastAsia="Calibri"/>
          <w:noProof/>
          <w:lang w:val="es-DO"/>
        </w:rPr>
        <w:t xml:space="preserve"> </w:t>
      </w:r>
      <w:r w:rsidRPr="00310D52">
        <w:rPr>
          <w:rFonts w:eastAsia="Calibri"/>
          <w:noProof/>
          <w:lang w:val="es-DO"/>
        </w:rPr>
        <w:t>retenidas en</w:t>
      </w:r>
      <w:r w:rsidR="00D0435C">
        <w:rPr>
          <w:rFonts w:eastAsia="Calibri"/>
          <w:noProof/>
          <w:lang w:val="es-DO"/>
        </w:rPr>
        <w:t xml:space="preserve"> </w:t>
      </w:r>
      <w:r w:rsidRPr="00310D52">
        <w:rPr>
          <w:rFonts w:eastAsia="Calibri"/>
          <w:noProof/>
          <w:lang w:val="es-DO"/>
        </w:rPr>
        <w:t>hospitales</w:t>
      </w:r>
      <w:r w:rsidR="00D0435C">
        <w:rPr>
          <w:rFonts w:eastAsia="Calibri"/>
          <w:noProof/>
          <w:lang w:val="es-DO"/>
        </w:rPr>
        <w:t xml:space="preserve"> </w:t>
      </w:r>
      <w:r w:rsidRPr="00310D52">
        <w:rPr>
          <w:rFonts w:eastAsia="Calibri"/>
          <w:noProof/>
          <w:lang w:val="es-DO"/>
        </w:rPr>
        <w:t>reduciendo</w:t>
      </w:r>
      <w:r w:rsidR="00D0435C">
        <w:rPr>
          <w:rFonts w:eastAsia="Calibri"/>
          <w:noProof/>
          <w:lang w:val="es-DO"/>
        </w:rPr>
        <w:t xml:space="preserve"> </w:t>
      </w:r>
      <w:r w:rsidRPr="00310D52">
        <w:rPr>
          <w:rFonts w:eastAsia="Calibri"/>
          <w:noProof/>
          <w:lang w:val="es-DO"/>
        </w:rPr>
        <w:t>significativamente el tiempo de permanencia innecesario de las unidades en la emergencia del centro de salud antes de ser ubicado el paciente en una cama. Adicionalmente, se brindó acompañamiento en situaciones críticas como la atención psicosocial tras el siniestro del Jet Set, dando apoyo a 25 familias.</w:t>
      </w:r>
    </w:p>
    <w:p w14:paraId="469E73C1" w14:textId="52C22FBB" w:rsidR="00434602" w:rsidRPr="00310D52" w:rsidRDefault="008B458A" w:rsidP="00434602">
      <w:pPr>
        <w:spacing w:line="360" w:lineRule="auto"/>
        <w:jc w:val="both"/>
        <w:rPr>
          <w:rFonts w:eastAsia="Calibri"/>
          <w:noProof/>
          <w:lang w:val="es-DO"/>
        </w:rPr>
      </w:pPr>
      <w:r w:rsidRPr="00310D52">
        <w:rPr>
          <w:rFonts w:eastAsia="Calibri"/>
          <w:noProof/>
          <w:lang w:val="es-DO"/>
        </w:rPr>
        <w:t xml:space="preserve">El desarrollo tecnológico </w:t>
      </w:r>
      <w:r w:rsidR="001441F3" w:rsidRPr="00310D52">
        <w:rPr>
          <w:rFonts w:eastAsia="Calibri"/>
          <w:noProof/>
          <w:lang w:val="es-DO"/>
        </w:rPr>
        <w:t xml:space="preserve">e </w:t>
      </w:r>
      <w:r w:rsidRPr="00310D52">
        <w:rPr>
          <w:rFonts w:eastAsia="Calibri"/>
          <w:noProof/>
          <w:lang w:val="es-DO"/>
        </w:rPr>
        <w:t xml:space="preserve">innovación operativa </w:t>
      </w:r>
      <w:r w:rsidR="001441F3" w:rsidRPr="00310D52">
        <w:rPr>
          <w:rFonts w:eastAsia="Calibri"/>
          <w:noProof/>
          <w:lang w:val="es-DO"/>
        </w:rPr>
        <w:t xml:space="preserve">ha sido un elemento clave que ha permitido optimizar los procesos con plataformas digitales que sustituyeron los métodos manuales para el registro y monitoreo de las preposiciones. Se desarrollaron aplicaciones propias para el  registro automático de movimientos operativos: </w:t>
      </w:r>
      <w:r w:rsidRPr="00310D52">
        <w:rPr>
          <w:rFonts w:eastAsia="Calibri"/>
          <w:noProof/>
          <w:lang w:val="es-DO"/>
        </w:rPr>
        <w:t xml:space="preserve">plataforma </w:t>
      </w:r>
      <w:r w:rsidR="001441F3" w:rsidRPr="00310D52">
        <w:rPr>
          <w:rFonts w:eastAsia="Calibri"/>
          <w:noProof/>
          <w:lang w:val="es-DO"/>
        </w:rPr>
        <w:t>de análisis estadístico y plataforma de control de entrada/salida de unidades, generando por primera vez indicadores precisos dentro de los que est</w:t>
      </w:r>
      <w:r w:rsidR="00225C91" w:rsidRPr="00310D52">
        <w:rPr>
          <w:rFonts w:eastAsia="Calibri"/>
          <w:noProof/>
          <w:lang w:val="es-DO"/>
        </w:rPr>
        <w:t>á</w:t>
      </w:r>
      <w:r w:rsidR="001441F3" w:rsidRPr="00310D52">
        <w:rPr>
          <w:rFonts w:eastAsia="Calibri"/>
          <w:noProof/>
          <w:lang w:val="es-DO"/>
        </w:rPr>
        <w:t xml:space="preserve"> la  reducci</w:t>
      </w:r>
      <w:r w:rsidR="00B92191" w:rsidRPr="00310D52">
        <w:rPr>
          <w:rFonts w:eastAsia="Calibri"/>
          <w:noProof/>
          <w:lang w:val="es-DO"/>
        </w:rPr>
        <w:t>ó</w:t>
      </w:r>
      <w:r w:rsidR="001441F3" w:rsidRPr="00310D52">
        <w:rPr>
          <w:rFonts w:eastAsia="Calibri"/>
          <w:noProof/>
          <w:lang w:val="es-DO"/>
        </w:rPr>
        <w:t>n de no cobertura nacional a menos de un 10%.</w:t>
      </w:r>
    </w:p>
    <w:p w14:paraId="50900397" w14:textId="69E975C1" w:rsidR="00CD5BDF" w:rsidRPr="00310D52" w:rsidRDefault="001441F3" w:rsidP="00434602">
      <w:pPr>
        <w:spacing w:line="360" w:lineRule="auto"/>
        <w:jc w:val="both"/>
        <w:rPr>
          <w:rFonts w:eastAsia="Calibri"/>
          <w:noProof/>
          <w:lang w:val="es-DO"/>
        </w:rPr>
      </w:pPr>
      <w:r w:rsidRPr="00310D52">
        <w:rPr>
          <w:rFonts w:eastAsia="Calibri"/>
          <w:noProof/>
          <w:lang w:val="es-DO"/>
        </w:rPr>
        <w:t xml:space="preserve">En materia de </w:t>
      </w:r>
      <w:r w:rsidR="008B458A" w:rsidRPr="00310D52">
        <w:rPr>
          <w:rFonts w:eastAsia="Calibri"/>
          <w:noProof/>
          <w:lang w:val="es-DO"/>
        </w:rPr>
        <w:t>gesti</w:t>
      </w:r>
      <w:r w:rsidR="004E07DA" w:rsidRPr="00310D52">
        <w:rPr>
          <w:rFonts w:eastAsia="Calibri"/>
          <w:noProof/>
          <w:lang w:val="es-DO"/>
        </w:rPr>
        <w:t>ó</w:t>
      </w:r>
      <w:r w:rsidR="008B458A" w:rsidRPr="00310D52">
        <w:rPr>
          <w:rFonts w:eastAsia="Calibri"/>
          <w:noProof/>
          <w:lang w:val="es-DO"/>
        </w:rPr>
        <w:t xml:space="preserve">n </w:t>
      </w:r>
      <w:r w:rsidRPr="00310D52">
        <w:rPr>
          <w:rFonts w:eastAsia="Calibri"/>
          <w:noProof/>
          <w:lang w:val="es-DO"/>
        </w:rPr>
        <w:t xml:space="preserve">del </w:t>
      </w:r>
      <w:r w:rsidR="008B458A" w:rsidRPr="00310D52">
        <w:rPr>
          <w:rFonts w:eastAsia="Calibri"/>
          <w:noProof/>
          <w:lang w:val="es-DO"/>
        </w:rPr>
        <w:t>talento humano</w:t>
      </w:r>
      <w:r w:rsidRPr="00310D52">
        <w:rPr>
          <w:rFonts w:eastAsia="Calibri"/>
          <w:noProof/>
          <w:lang w:val="es-DO"/>
        </w:rPr>
        <w:t>,</w:t>
      </w:r>
      <w:r w:rsidR="00870AD0" w:rsidRPr="00310D52">
        <w:rPr>
          <w:rFonts w:eastAsia="Calibri"/>
          <w:noProof/>
          <w:lang w:val="es-DO"/>
        </w:rPr>
        <w:t xml:space="preserve"> </w:t>
      </w:r>
      <w:r w:rsidRPr="00310D52">
        <w:rPr>
          <w:rFonts w:eastAsia="Calibri"/>
          <w:noProof/>
          <w:lang w:val="es-DO"/>
        </w:rPr>
        <w:t xml:space="preserve">seleccionaron y contrataron 2,308 colaboradores asistenciales y 422 personal administrativo,  para un total de 8,450 colaboradores a la fecha, necesarios para la </w:t>
      </w:r>
      <w:r w:rsidRPr="00310D52">
        <w:rPr>
          <w:rFonts w:eastAsia="Calibri"/>
          <w:noProof/>
          <w:lang w:val="es-DO"/>
        </w:rPr>
        <w:lastRenderedPageBreak/>
        <w:t>operatividad de las ambulancias. Se ejecutó un amplio programa de fortalecimiento de competencias 1,531 horas de capacitación, dirigidas a mejorar las capacidades técnicas, operativas y administrativas del personal de distintas áreas asistenciales y administrativas.</w:t>
      </w:r>
    </w:p>
    <w:p w14:paraId="3B9A0229" w14:textId="6F00C96E" w:rsidR="00C46E6A" w:rsidRPr="00310D52" w:rsidRDefault="001441F3" w:rsidP="00434602">
      <w:pPr>
        <w:spacing w:line="360" w:lineRule="auto"/>
        <w:jc w:val="both"/>
        <w:rPr>
          <w:rFonts w:eastAsia="Calibri"/>
          <w:noProof/>
          <w:lang w:val="es-DO"/>
        </w:rPr>
      </w:pPr>
      <w:r w:rsidRPr="00310D52">
        <w:rPr>
          <w:rFonts w:eastAsia="Calibri"/>
          <w:noProof/>
          <w:lang w:val="es-DO"/>
        </w:rPr>
        <w:t>Gestion legal Eficiente, se implementaron acciones que contribuyen al fortalecimiento de los procesos internos de nuestra institución. Entre los principales se incluyen: 248 finiquitos legales, que garantizan el cierre formal y oportuno de los procesos correspondientes, Revision de 35 contratos de compras y contrataciones y 22 pliegos de condiciones. Se emitieron 296 certificaciones de asistencia a usuarios atendidos por nuestras unidades prehospitalarias. Se gestionaron 30 procesos litigiosos, con 17 casos resueltos y 13 en curso, manteniendo el seguimiento oportuno ante los tribunales y velando por la defensa institucional. Se formalizaron dos acuerdos interinstitucionales orientados a fortalecer la gestión jurídica y operativa de la DAEH: 1) Consejo Estatal del Azúcar (CEA), mediante el cual se asignó un terreno para su uso como centro de acopio y taller institucional, 2) IDOPRIL, destinado a fortalecer la protección social de los colaboradores ante riesgos laborales, garantizando beneficios oportunos y una gestión más eficiente y transparente.</w:t>
      </w:r>
    </w:p>
    <w:p w14:paraId="456D7A55" w14:textId="42759775" w:rsidR="00CA20FF" w:rsidRPr="00310D52" w:rsidRDefault="001441F3" w:rsidP="00434602">
      <w:pPr>
        <w:spacing w:line="360" w:lineRule="auto"/>
        <w:jc w:val="both"/>
        <w:rPr>
          <w:rFonts w:eastAsia="Calibri"/>
          <w:noProof/>
          <w:lang w:val="es-DO"/>
        </w:rPr>
      </w:pPr>
      <w:r w:rsidRPr="00310D52">
        <w:rPr>
          <w:rFonts w:eastAsia="Calibri"/>
          <w:noProof/>
          <w:lang w:val="es-DO"/>
        </w:rPr>
        <w:t xml:space="preserve">En el ambito de las comunicaciones se desarrolló un conjunto de acciones estratégicas orientadas a posicionar la labor de la entidad y consolidar una imagen pública basada en servicio, eficiencia y rápida respuesta ante emergencias. En el ámbito digital, la institución experimentó un crecimiento notable en todas sus plataformas. Se difundieron 199 publicaciones estáticas y 39 videos y reels, alcanzando más de 337,300 visualizaciones en Facebook y 2,000,200 en Instagram. Estas acciones generaron un incremento de 573 nuevos </w:t>
      </w:r>
      <w:r w:rsidRPr="00310D52">
        <w:rPr>
          <w:rFonts w:eastAsia="Calibri"/>
          <w:noProof/>
          <w:lang w:val="es-DO"/>
        </w:rPr>
        <w:lastRenderedPageBreak/>
        <w:t xml:space="preserve">seguidores en Facebook, 5,600 en Instagram y 60 en X (Twitter), además de 46,900 interacciones con el contenido y la atención de 313 mensajes directos.  </w:t>
      </w:r>
    </w:p>
    <w:bookmarkEnd w:id="3"/>
    <w:p w14:paraId="728B0D97" w14:textId="78130F4A" w:rsidR="006854D2" w:rsidRPr="00310D52" w:rsidRDefault="00F54C80" w:rsidP="00434602">
      <w:pPr>
        <w:spacing w:line="360" w:lineRule="auto"/>
        <w:jc w:val="both"/>
        <w:rPr>
          <w:rFonts w:eastAsia="Calibri"/>
          <w:noProof/>
          <w:lang w:val="es-DO"/>
        </w:rPr>
      </w:pPr>
      <w:r w:rsidRPr="00310D52">
        <w:rPr>
          <w:rFonts w:eastAsia="Calibri"/>
          <w:noProof/>
          <w:lang w:val="es-DO"/>
        </w:rPr>
        <w:t xml:space="preserve">Se impulsaron las acciones enfocadas al  crecimiento institucional y liderazgo de la formulacion y seguimiento de planes, programas y proyectos clave para el desarrollo institucional, además de gestionar los sistemas de calidad y fomentar la cooperación internacional, obteniendo los siguientes resultados:  Plan Estratégico Institucional 2025-2028, construido a partir del análisis de riesgos, las necesidades operativas y las prioridades institucionales. Monitoreo del Plan Operativo Anual con un porcentaje promedio de eficiencia y eficacia de un </w:t>
      </w:r>
      <w:r w:rsidR="001F160D" w:rsidRPr="00310D52">
        <w:rPr>
          <w:rFonts w:eastAsia="Calibri"/>
          <w:noProof/>
          <w:lang w:val="es-DO"/>
        </w:rPr>
        <w:t>96</w:t>
      </w:r>
      <w:r w:rsidRPr="00310D52">
        <w:rPr>
          <w:rFonts w:eastAsia="Calibri"/>
          <w:noProof/>
          <w:lang w:val="es-DO"/>
        </w:rPr>
        <w:t>%. Actualización de cuatro (4) planes de respuesta a emergencias por temporadas: Operativo La Altagracia, Operativo Semana Santa, Temporada Ciclónica 2025 y Operativo Navidad-Año Nuevo 2025-26, con el objetivo de garantizar la protección de la vida de la población mediante medidas preventivas. Mejoras en  la calidad de los servicios prestados, mediante la estandarización de 29 documentos normativos, incluyendo formularios, fichas</w:t>
      </w:r>
      <w:r w:rsidR="00D0435C">
        <w:rPr>
          <w:rFonts w:eastAsia="Calibri"/>
          <w:noProof/>
          <w:lang w:val="es-DO"/>
        </w:rPr>
        <w:t>,</w:t>
      </w:r>
      <w:r w:rsidRPr="00310D52">
        <w:rPr>
          <w:rFonts w:eastAsia="Calibri"/>
          <w:noProof/>
          <w:lang w:val="es-DO"/>
        </w:rPr>
        <w:t xml:space="preserve"> instructiv</w:t>
      </w:r>
      <w:r w:rsidR="00D0435C">
        <w:rPr>
          <w:rFonts w:eastAsia="Calibri"/>
          <w:noProof/>
          <w:lang w:val="es-DO"/>
        </w:rPr>
        <w:t>o</w:t>
      </w:r>
      <w:r w:rsidRPr="00310D52">
        <w:rPr>
          <w:rFonts w:eastAsia="Calibri"/>
          <w:noProof/>
          <w:lang w:val="es-DO"/>
        </w:rPr>
        <w:t>s, procedimientos, manuales, políticas y planes, cumpliendo con un total de 171 documentos del Sistema de Gestión de Calidad. Implementación de las Normas Básicas de Control Interno (NOBACI), obteniendo un 86.52% promedio. En medici</w:t>
      </w:r>
      <w:r w:rsidR="00993F0B" w:rsidRPr="00310D52">
        <w:rPr>
          <w:rFonts w:eastAsia="Calibri"/>
          <w:noProof/>
          <w:lang w:val="es-DO"/>
        </w:rPr>
        <w:t>ó</w:t>
      </w:r>
      <w:r w:rsidRPr="00310D52">
        <w:rPr>
          <w:rFonts w:eastAsia="Calibri"/>
          <w:noProof/>
          <w:lang w:val="es-DO"/>
        </w:rPr>
        <w:t xml:space="preserve">n al Indice de control Interno (ICI), la institución alcanzó un promedio general de cumplimiento del 92%, reflejando un desempeño robusto y alineado con los estándares de control interno, eficiencia y rendición de cuentas del Estado. La </w:t>
      </w:r>
      <w:r w:rsidR="00D0435C" w:rsidRPr="00310D52">
        <w:rPr>
          <w:rFonts w:eastAsia="Calibri"/>
          <w:noProof/>
          <w:lang w:val="es-DO"/>
        </w:rPr>
        <w:t xml:space="preserve">satisfacción global </w:t>
      </w:r>
      <w:r w:rsidRPr="00310D52">
        <w:rPr>
          <w:rFonts w:eastAsia="Calibri"/>
          <w:noProof/>
          <w:lang w:val="es-DO"/>
        </w:rPr>
        <w:t>con los servicios ha aumentado durante este año llegando a un 90%. Cumplimiento del 100% de las solicitudes de información recibidas</w:t>
      </w:r>
      <w:r w:rsidR="00D0435C">
        <w:rPr>
          <w:rFonts w:eastAsia="Calibri"/>
          <w:noProof/>
          <w:lang w:val="es-DO"/>
        </w:rPr>
        <w:t xml:space="preserve"> </w:t>
      </w:r>
      <w:r w:rsidRPr="00310D52">
        <w:rPr>
          <w:rFonts w:eastAsia="Calibri"/>
          <w:noProof/>
          <w:lang w:val="es-DO"/>
        </w:rPr>
        <w:t xml:space="preserve">(QRS), garantizando que todas fueran respondidas dentro de los plazos establecidos por la Ley Núm. 200-04, por lo que las mediciones del </w:t>
      </w:r>
      <w:r w:rsidRPr="00310D52">
        <w:rPr>
          <w:rFonts w:eastAsia="Calibri"/>
          <w:noProof/>
          <w:lang w:val="es-DO"/>
        </w:rPr>
        <w:lastRenderedPageBreak/>
        <w:t>portal de transparencia reflejaron un promedio general de</w:t>
      </w:r>
      <w:r w:rsidR="00D0435C">
        <w:rPr>
          <w:rFonts w:eastAsia="Calibri"/>
          <w:noProof/>
          <w:lang w:val="es-DO"/>
        </w:rPr>
        <w:t xml:space="preserve"> </w:t>
      </w:r>
      <w:r w:rsidRPr="00310D52">
        <w:rPr>
          <w:rFonts w:eastAsia="Calibri"/>
          <w:noProof/>
          <w:lang w:val="es-DO"/>
        </w:rPr>
        <w:t>cumplimiento de 98.49%, con calificaciones mensuales que se</w:t>
      </w:r>
      <w:r w:rsidR="00D0435C">
        <w:rPr>
          <w:rFonts w:eastAsia="Calibri"/>
          <w:noProof/>
          <w:lang w:val="es-DO"/>
        </w:rPr>
        <w:t xml:space="preserve"> </w:t>
      </w:r>
      <w:r w:rsidRPr="00310D52">
        <w:rPr>
          <w:rFonts w:eastAsia="Calibri"/>
          <w:noProof/>
          <w:lang w:val="es-DO"/>
        </w:rPr>
        <w:t>mantuvieron consistentemente por encima del 95%. El Indice de</w:t>
      </w:r>
      <w:r w:rsidR="00D0435C">
        <w:rPr>
          <w:rFonts w:eastAsia="Calibri"/>
          <w:noProof/>
          <w:lang w:val="es-DO"/>
        </w:rPr>
        <w:t xml:space="preserve"> </w:t>
      </w:r>
      <w:r w:rsidRPr="00310D52">
        <w:rPr>
          <w:rFonts w:eastAsia="Calibri"/>
          <w:noProof/>
          <w:lang w:val="es-DO"/>
        </w:rPr>
        <w:t>Gestion Presupuestaria cerramos con 94% promedio, indicando el</w:t>
      </w:r>
      <w:r w:rsidR="00D0435C">
        <w:rPr>
          <w:rFonts w:eastAsia="Calibri"/>
          <w:noProof/>
          <w:lang w:val="es-DO"/>
        </w:rPr>
        <w:t xml:space="preserve"> </w:t>
      </w:r>
      <w:r w:rsidRPr="00310D52">
        <w:rPr>
          <w:rFonts w:eastAsia="Calibri"/>
          <w:noProof/>
          <w:lang w:val="es-DO"/>
        </w:rPr>
        <w:t>grado la instituci</w:t>
      </w:r>
      <w:r w:rsidR="00993F0B" w:rsidRPr="00310D52">
        <w:rPr>
          <w:rFonts w:eastAsia="Calibri"/>
          <w:noProof/>
          <w:lang w:val="es-DO"/>
        </w:rPr>
        <w:t>ó</w:t>
      </w:r>
      <w:r w:rsidRPr="00310D52">
        <w:rPr>
          <w:rFonts w:eastAsia="Calibri"/>
          <w:noProof/>
          <w:lang w:val="es-DO"/>
        </w:rPr>
        <w:t>n cumple con la mejora de los procesos de gestion</w:t>
      </w:r>
      <w:r w:rsidR="00D0435C">
        <w:rPr>
          <w:rFonts w:eastAsia="Calibri"/>
          <w:noProof/>
          <w:lang w:val="es-DO"/>
        </w:rPr>
        <w:t xml:space="preserve"> </w:t>
      </w:r>
      <w:r w:rsidRPr="00310D52">
        <w:rPr>
          <w:rFonts w:eastAsia="Calibri"/>
          <w:noProof/>
          <w:lang w:val="es-DO"/>
        </w:rPr>
        <w:t>eficaz , eficiente y transparente en la  vinculacion del Presupuesto y</w:t>
      </w:r>
      <w:r w:rsidR="00D0435C">
        <w:rPr>
          <w:rFonts w:eastAsia="Calibri"/>
          <w:noProof/>
          <w:lang w:val="es-DO"/>
        </w:rPr>
        <w:t xml:space="preserve"> </w:t>
      </w:r>
      <w:r w:rsidRPr="00310D52">
        <w:rPr>
          <w:rFonts w:eastAsia="Calibri"/>
          <w:noProof/>
          <w:lang w:val="es-DO"/>
        </w:rPr>
        <w:t>la Planificacion (metas fisicas y financieras).</w:t>
      </w:r>
    </w:p>
    <w:p w14:paraId="32F36EB4" w14:textId="021F0B83" w:rsidR="00654164" w:rsidRPr="00310D52" w:rsidRDefault="00F54C80" w:rsidP="00434602">
      <w:pPr>
        <w:spacing w:line="360" w:lineRule="auto"/>
        <w:jc w:val="both"/>
        <w:rPr>
          <w:rFonts w:eastAsia="Calibri"/>
          <w:noProof/>
          <w:lang w:val="es-DO"/>
        </w:rPr>
      </w:pPr>
      <w:r w:rsidRPr="00310D52">
        <w:rPr>
          <w:rFonts w:eastAsia="Calibri"/>
          <w:noProof/>
          <w:lang w:val="es-DO"/>
        </w:rPr>
        <w:t xml:space="preserve">Las iniciativas desarrolladas durante el año dieron resultados visibles en la gestion  como  el programa “Sin Aviso”, “5 Minutos con el Director”, “Director por 1 Día” y “Base Digna”, además de las visitas de inspección a las bases operativas. Este enfoque ha permitido mantener informada a la ciudadanía y a los colaboradores, fortaleciendo la conexión con la población y destacando el trabajo operativo que realiza la institución a nivel nacional. Asimismo, se ha logrado un impacto significativo en la orientación ciudadana durante los traslados de emergencia, especialmente a través de la campaña “Cede el Paso”, que promueve la colaboración de los conductores para facilitar el desplazamiento de las ambulancias y mejorar así los tiempos de respuesta.  </w:t>
      </w:r>
      <w:r w:rsidR="00544419" w:rsidRPr="00310D52">
        <w:rPr>
          <w:rFonts w:eastAsia="Calibri"/>
          <w:noProof/>
          <w:lang w:val="es-DO"/>
        </w:rPr>
        <w:br w:type="page"/>
      </w:r>
    </w:p>
    <w:p w14:paraId="6384D0D4" w14:textId="1390EC52" w:rsidR="00654164" w:rsidRPr="00310D52" w:rsidRDefault="00654164" w:rsidP="00434602">
      <w:pPr>
        <w:pStyle w:val="Ttulo1"/>
        <w:numPr>
          <w:ilvl w:val="0"/>
          <w:numId w:val="1"/>
        </w:numPr>
        <w:rPr>
          <w:rFonts w:cs="Times New Roman"/>
          <w:color w:val="767171"/>
          <w:lang w:val="es-DO"/>
        </w:rPr>
      </w:pPr>
      <w:bookmarkStart w:id="4" w:name="_Toc217050874"/>
      <w:r w:rsidRPr="00310D52">
        <w:rPr>
          <w:rFonts w:cs="Times New Roman"/>
          <w:color w:val="767171"/>
          <w:lang w:val="es-DO"/>
        </w:rPr>
        <w:lastRenderedPageBreak/>
        <w:t>INFORMACIÓN INSTITUCIONAL</w:t>
      </w:r>
      <w:bookmarkEnd w:id="4"/>
    </w:p>
    <w:p w14:paraId="794C2FD3" w14:textId="73C7B9AC" w:rsidR="00654164" w:rsidRPr="00310D52" w:rsidRDefault="00654164" w:rsidP="00434602">
      <w:pPr>
        <w:spacing w:line="360" w:lineRule="auto"/>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656704" behindDoc="0" locked="0" layoutInCell="1" allowOverlap="1" wp14:anchorId="2735667A" wp14:editId="3C529978">
                <wp:simplePos x="0" y="0"/>
                <wp:positionH relativeFrom="margin">
                  <wp:posOffset>2254250</wp:posOffset>
                </wp:positionH>
                <wp:positionV relativeFrom="paragraph">
                  <wp:posOffset>52705</wp:posOffset>
                </wp:positionV>
                <wp:extent cx="463550" cy="0"/>
                <wp:effectExtent l="22860" t="15875" r="18415" b="2222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C9423" id="Straight Connector 8" o:spid="_x0000_s1026" style="position:absolute;z-index:251656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4.15pt" to="214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" strokecolor="#ee2a24" strokeweight="2.25pt">
                <v:stroke joinstyle="miter"/>
                <w10:wrap anchorx="margin"/>
              </v:line>
            </w:pict>
          </mc:Fallback>
        </mc:AlternateContent>
      </w:r>
    </w:p>
    <w:p w14:paraId="367ED8A1" w14:textId="1E01DD21" w:rsidR="00BA2267" w:rsidRPr="00310D52" w:rsidRDefault="00654164" w:rsidP="00434602">
      <w:pPr>
        <w:spacing w:line="360" w:lineRule="auto"/>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64F7F69F" w14:textId="77777777" w:rsidR="00AB7AA1" w:rsidRPr="00310D52" w:rsidRDefault="00AB7AA1" w:rsidP="00434602">
      <w:pPr>
        <w:spacing w:line="360" w:lineRule="auto"/>
        <w:jc w:val="center"/>
        <w:rPr>
          <w:rFonts w:eastAsia="Calibri"/>
          <w:szCs w:val="36"/>
          <w:lang w:val="es-DO"/>
        </w:rPr>
      </w:pPr>
    </w:p>
    <w:p w14:paraId="4ED8E85F" w14:textId="7F6F22C7" w:rsidR="00BA2267" w:rsidRPr="00310D52" w:rsidRDefault="00AB7AA1" w:rsidP="00434602">
      <w:pPr>
        <w:spacing w:line="360" w:lineRule="auto"/>
        <w:jc w:val="both"/>
        <w:rPr>
          <w:rFonts w:eastAsia="Calibri"/>
          <w:noProof/>
          <w:lang w:val="es-DO"/>
        </w:rPr>
      </w:pPr>
      <w:r w:rsidRPr="00310D52">
        <w:rPr>
          <w:rFonts w:eastAsia="Calibri"/>
          <w:noProof/>
          <w:lang w:val="es-DO"/>
        </w:rPr>
        <w:t>Nuestro propósito general es asegurar la aplicación y evaluación de mecanismos de coordinación e integración técnica para la prestación de servicios y programas de salud ofrecidos a la población, así como la gestión de los Centros Reguladores de Urgencias y Emergencias CRUE en materia de traslado sanitario y gestión del riesgo para la preparación y respuesta a las emergencias, garantizando calidad y atención humanizada.</w:t>
      </w:r>
    </w:p>
    <w:p w14:paraId="71AAF379" w14:textId="671675D5" w:rsidR="00AB7AA1" w:rsidRPr="00F06D9C" w:rsidRDefault="00AB7AA1" w:rsidP="00434602">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5" w:name="_Toc184936503"/>
      <w:bookmarkStart w:id="6" w:name="_Toc217050875"/>
      <w:r w:rsidRPr="00F06D9C">
        <w:rPr>
          <w:rFonts w:eastAsiaTheme="majorEastAsia"/>
          <w:b/>
          <w:spacing w:val="0"/>
          <w:szCs w:val="28"/>
          <w:lang w:val="es-DO"/>
        </w:rPr>
        <w:t>Marco Filosófico Institucional</w:t>
      </w:r>
      <w:bookmarkEnd w:id="5"/>
      <w:bookmarkEnd w:id="6"/>
    </w:p>
    <w:p w14:paraId="594588E6" w14:textId="77777777" w:rsidR="00AB7AA1" w:rsidRPr="00310D52" w:rsidRDefault="00AB7AA1" w:rsidP="00434602">
      <w:pPr>
        <w:pStyle w:val="Prrafodelista"/>
        <w:numPr>
          <w:ilvl w:val="0"/>
          <w:numId w:val="4"/>
        </w:numPr>
        <w:spacing w:line="360" w:lineRule="auto"/>
        <w:ind w:left="450"/>
        <w:jc w:val="both"/>
        <w:rPr>
          <w:rFonts w:eastAsia="Calibri"/>
          <w:b/>
          <w:bCs/>
          <w:noProof/>
          <w:lang w:val="es-DO"/>
        </w:rPr>
      </w:pPr>
      <w:r w:rsidRPr="00310D52">
        <w:rPr>
          <w:rFonts w:eastAsia="Calibri"/>
          <w:b/>
          <w:bCs/>
          <w:noProof/>
          <w:lang w:val="es-DO"/>
        </w:rPr>
        <w:t>Misión</w:t>
      </w:r>
    </w:p>
    <w:p w14:paraId="72577221" w14:textId="24BBF227" w:rsidR="00BA2267" w:rsidRPr="00310D52" w:rsidRDefault="00AB7AA1" w:rsidP="00434602">
      <w:pPr>
        <w:pStyle w:val="Prrafodelista"/>
        <w:spacing w:line="360" w:lineRule="auto"/>
        <w:ind w:left="450"/>
        <w:jc w:val="both"/>
        <w:rPr>
          <w:rFonts w:eastAsia="Calibri"/>
          <w:b/>
          <w:bCs/>
          <w:noProof/>
          <w:lang w:val="es-DO"/>
        </w:rPr>
      </w:pPr>
      <w:r w:rsidRPr="00310D52">
        <w:rPr>
          <w:rFonts w:eastAsia="Calibri"/>
          <w:noProof/>
          <w:lang w:val="es-DO"/>
        </w:rPr>
        <w:t>Proveer asistencia sanitaria urgente especializada, a través de la regulación y control de las atenciones de emergencias extrahospitalarias y la gestión del riesgo, garantizando la respuesta oportuna a los usuarios de manera integral, profesional y humanizada en beneficio de todos los usuarios en el territorio nacional.</w:t>
      </w:r>
    </w:p>
    <w:p w14:paraId="0670F2A7" w14:textId="77777777" w:rsidR="00AB7AA1" w:rsidRPr="00310D52" w:rsidRDefault="00AB7AA1" w:rsidP="00434602">
      <w:pPr>
        <w:pStyle w:val="Prrafodelista"/>
        <w:numPr>
          <w:ilvl w:val="0"/>
          <w:numId w:val="4"/>
        </w:numPr>
        <w:spacing w:line="360" w:lineRule="auto"/>
        <w:ind w:left="450"/>
        <w:jc w:val="both"/>
        <w:rPr>
          <w:rFonts w:eastAsia="Calibri"/>
          <w:b/>
          <w:bCs/>
          <w:noProof/>
          <w:lang w:val="es-DO"/>
        </w:rPr>
      </w:pPr>
      <w:r w:rsidRPr="00310D52">
        <w:rPr>
          <w:rFonts w:eastAsia="Calibri"/>
          <w:b/>
          <w:bCs/>
          <w:noProof/>
          <w:lang w:val="es-DO"/>
        </w:rPr>
        <w:t>Visión</w:t>
      </w:r>
    </w:p>
    <w:p w14:paraId="1F66F552" w14:textId="28F78DA3" w:rsidR="00AB7AA1" w:rsidRPr="00310D52" w:rsidRDefault="00AB7AA1" w:rsidP="00434602">
      <w:pPr>
        <w:pStyle w:val="Prrafodelista"/>
        <w:spacing w:line="360" w:lineRule="auto"/>
        <w:ind w:left="450"/>
        <w:jc w:val="both"/>
        <w:rPr>
          <w:rFonts w:eastAsia="Calibri"/>
          <w:b/>
          <w:bCs/>
          <w:noProof/>
          <w:lang w:val="es-DO"/>
        </w:rPr>
      </w:pPr>
      <w:r w:rsidRPr="00310D52">
        <w:rPr>
          <w:rFonts w:eastAsia="Calibri"/>
          <w:noProof/>
          <w:lang w:val="es-DO"/>
        </w:rPr>
        <w:t>Ser un servicio de excelencia y modelo de la referencia a través de la respuesta de atención extrahospitalaria segura y profesional, reconocida por nuestros usuario</w:t>
      </w:r>
      <w:r w:rsidR="00B92191" w:rsidRPr="00310D52">
        <w:rPr>
          <w:rFonts w:eastAsia="Calibri"/>
          <w:noProof/>
          <w:lang w:val="es-DO"/>
        </w:rPr>
        <w:t>s</w:t>
      </w:r>
      <w:r w:rsidRPr="00310D52">
        <w:rPr>
          <w:rFonts w:eastAsia="Calibri"/>
          <w:noProof/>
          <w:lang w:val="es-DO"/>
        </w:rPr>
        <w:t xml:space="preserve"> como líderes, por prestar un servicio de calidad y traslado oportuno a los pacientes en todo el territorio nacional.</w:t>
      </w:r>
    </w:p>
    <w:p w14:paraId="35A35732" w14:textId="2EC6E5B4" w:rsidR="00AB7AA1" w:rsidRPr="00310D52" w:rsidRDefault="00AB7AA1" w:rsidP="00434602">
      <w:pPr>
        <w:pStyle w:val="Prrafodelista"/>
        <w:numPr>
          <w:ilvl w:val="0"/>
          <w:numId w:val="4"/>
        </w:numPr>
        <w:spacing w:line="360" w:lineRule="auto"/>
        <w:ind w:left="450"/>
        <w:jc w:val="both"/>
        <w:rPr>
          <w:rFonts w:eastAsia="Calibri"/>
          <w:b/>
          <w:bCs/>
          <w:noProof/>
          <w:lang w:val="es-DO"/>
        </w:rPr>
      </w:pPr>
      <w:r w:rsidRPr="00310D52">
        <w:rPr>
          <w:rFonts w:eastAsia="Calibri"/>
          <w:b/>
          <w:bCs/>
          <w:noProof/>
          <w:lang w:val="es-DO"/>
        </w:rPr>
        <w:t>Valores</w:t>
      </w:r>
    </w:p>
    <w:p w14:paraId="1F167AA3" w14:textId="77777777"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Calidad:</w:t>
      </w:r>
      <w:r w:rsidRPr="00310D52">
        <w:rPr>
          <w:rFonts w:eastAsia="Calibri"/>
          <w:noProof/>
          <w:lang w:val="es-DO"/>
        </w:rPr>
        <w:t xml:space="preserve"> Garantizar el fiel cumplimiento de los lineamientos basados en los estándares y protocolos establecidos en base al marco legal y normativo.</w:t>
      </w:r>
    </w:p>
    <w:p w14:paraId="4B8C97F1" w14:textId="77777777" w:rsidR="00AB7AA1" w:rsidRPr="00310D52" w:rsidRDefault="00AB7AA1" w:rsidP="00434602">
      <w:pPr>
        <w:pStyle w:val="Prrafodelista"/>
        <w:spacing w:line="360" w:lineRule="auto"/>
        <w:ind w:left="450"/>
        <w:jc w:val="both"/>
        <w:rPr>
          <w:rFonts w:eastAsia="Calibri"/>
          <w:noProof/>
          <w:lang w:val="es-DO"/>
        </w:rPr>
      </w:pPr>
    </w:p>
    <w:p w14:paraId="3C6B7CF5" w14:textId="77777777"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Ética:</w:t>
      </w:r>
      <w:r w:rsidRPr="00310D52">
        <w:rPr>
          <w:rFonts w:eastAsia="Calibri"/>
          <w:noProof/>
          <w:lang w:val="es-DO"/>
        </w:rPr>
        <w:t xml:space="preserve"> Garantizar el respeto a las leyes, normativas institucionales, deberes y derechos de los usuarios y del personal de salud, así como velar por la integridad, confidencialidad y pudor de los usuarios.</w:t>
      </w:r>
    </w:p>
    <w:p w14:paraId="0913797C" w14:textId="77777777" w:rsidR="00AB7AA1" w:rsidRPr="00310D52" w:rsidRDefault="00AB7AA1" w:rsidP="00434602">
      <w:pPr>
        <w:pStyle w:val="Prrafodelista"/>
        <w:spacing w:line="360" w:lineRule="auto"/>
        <w:ind w:left="450"/>
        <w:jc w:val="both"/>
        <w:rPr>
          <w:rFonts w:eastAsia="Calibri"/>
          <w:noProof/>
          <w:lang w:val="es-DO"/>
        </w:rPr>
      </w:pPr>
    </w:p>
    <w:p w14:paraId="02A59042" w14:textId="77777777"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Compromiso:</w:t>
      </w:r>
      <w:r w:rsidRPr="00310D52">
        <w:rPr>
          <w:rFonts w:eastAsia="Calibri"/>
          <w:noProof/>
          <w:lang w:val="es-DO"/>
        </w:rPr>
        <w:t xml:space="preserve"> Mantener el constante desarrollo de las capacidades humanas, profesionales y logísticas como organismo regulador y rector, dando el mayor esfuerzo en el logro de los objetivos, con un alto estándar de calidad que satisfaga y supere las expectativas de los usuarios.</w:t>
      </w:r>
    </w:p>
    <w:p w14:paraId="5FBC2725" w14:textId="77777777" w:rsidR="00AB7AA1" w:rsidRPr="00310D52" w:rsidRDefault="00AB7AA1" w:rsidP="00434602">
      <w:pPr>
        <w:pStyle w:val="Prrafodelista"/>
        <w:spacing w:line="360" w:lineRule="auto"/>
        <w:ind w:left="450"/>
        <w:jc w:val="both"/>
        <w:rPr>
          <w:rFonts w:eastAsia="Calibri"/>
          <w:noProof/>
          <w:lang w:val="es-DO"/>
        </w:rPr>
      </w:pPr>
    </w:p>
    <w:p w14:paraId="249BF1DF" w14:textId="77777777"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Responsabilidad:</w:t>
      </w:r>
      <w:r w:rsidRPr="00310D52">
        <w:rPr>
          <w:rFonts w:eastAsia="Calibri"/>
          <w:noProof/>
          <w:lang w:val="es-DO"/>
        </w:rPr>
        <w:t xml:space="preserve"> Funcionarios realizan su función con compromiso y profesionalismo, respondiendo oportunamente por sus actos y tareas.</w:t>
      </w:r>
    </w:p>
    <w:p w14:paraId="5C9F79E8" w14:textId="77777777" w:rsidR="00AB7AA1" w:rsidRPr="00310D52" w:rsidRDefault="00AB7AA1" w:rsidP="00434602">
      <w:pPr>
        <w:pStyle w:val="Prrafodelista"/>
        <w:spacing w:line="360" w:lineRule="auto"/>
        <w:ind w:left="450"/>
        <w:jc w:val="both"/>
        <w:rPr>
          <w:rFonts w:eastAsia="Calibri"/>
          <w:noProof/>
          <w:lang w:val="es-DO"/>
        </w:rPr>
      </w:pPr>
    </w:p>
    <w:p w14:paraId="0D9AACD8" w14:textId="77777777"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Humanización:</w:t>
      </w:r>
      <w:r w:rsidRPr="00310D52">
        <w:rPr>
          <w:rFonts w:eastAsia="Calibri"/>
          <w:noProof/>
          <w:lang w:val="es-DO"/>
        </w:rPr>
        <w:t xml:space="preserve"> Garantizar como órgano rector la atención equitativa y de calidad velando por el respeto a la integridad y dignidad de los usuarios, a través de la concienciación y sensibilización de los colaboradores sin discriminación de procedencia, nivel social, religión de los usuarios.</w:t>
      </w:r>
    </w:p>
    <w:p w14:paraId="4C5F3B46" w14:textId="77777777" w:rsidR="00AB7AA1" w:rsidRPr="00310D52" w:rsidRDefault="00AB7AA1" w:rsidP="00434602">
      <w:pPr>
        <w:pStyle w:val="Prrafodelista"/>
        <w:spacing w:line="360" w:lineRule="auto"/>
        <w:ind w:left="450"/>
        <w:jc w:val="both"/>
        <w:rPr>
          <w:rFonts w:eastAsia="Calibri"/>
          <w:noProof/>
          <w:lang w:val="es-DO"/>
        </w:rPr>
      </w:pPr>
    </w:p>
    <w:p w14:paraId="01E580C3" w14:textId="1DDFEA30"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Integridad:</w:t>
      </w:r>
      <w:r w:rsidRPr="00310D52">
        <w:rPr>
          <w:rFonts w:eastAsia="Calibri"/>
          <w:noProof/>
          <w:lang w:val="es-DO"/>
        </w:rPr>
        <w:t xml:space="preserve"> Implica mantener la rectitud y la honestidad de manera permanente, independiente de las presiones que puedan recibirse, </w:t>
      </w:r>
      <w:r w:rsidR="00B92191" w:rsidRPr="00310D52">
        <w:rPr>
          <w:rFonts w:eastAsia="Calibri"/>
          <w:noProof/>
          <w:lang w:val="es-DO"/>
        </w:rPr>
        <w:t>l</w:t>
      </w:r>
      <w:r w:rsidRPr="00310D52">
        <w:rPr>
          <w:rFonts w:eastAsia="Calibri"/>
          <w:noProof/>
          <w:lang w:val="es-DO"/>
        </w:rPr>
        <w:t>a conducta y el actuar son coherentes con las normas éticas de la institución.</w:t>
      </w:r>
    </w:p>
    <w:p w14:paraId="34FB094A" w14:textId="77777777" w:rsidR="00AB7AA1" w:rsidRPr="00310D52" w:rsidRDefault="00AB7AA1" w:rsidP="00434602">
      <w:pPr>
        <w:pStyle w:val="Prrafodelista"/>
        <w:spacing w:line="360" w:lineRule="auto"/>
        <w:ind w:left="450"/>
        <w:jc w:val="both"/>
        <w:rPr>
          <w:rFonts w:eastAsia="Calibri"/>
          <w:noProof/>
          <w:lang w:val="es-DO"/>
        </w:rPr>
      </w:pPr>
    </w:p>
    <w:p w14:paraId="221F1DF5" w14:textId="7C1A2E40" w:rsidR="00AB7AA1" w:rsidRPr="00310D52" w:rsidRDefault="00AB7AA1" w:rsidP="00434602">
      <w:pPr>
        <w:pStyle w:val="Prrafodelista"/>
        <w:spacing w:line="360" w:lineRule="auto"/>
        <w:ind w:left="450"/>
        <w:jc w:val="both"/>
        <w:rPr>
          <w:rFonts w:eastAsia="Calibri"/>
          <w:noProof/>
          <w:lang w:val="es-DO"/>
        </w:rPr>
      </w:pPr>
      <w:r w:rsidRPr="00310D52">
        <w:rPr>
          <w:rFonts w:eastAsia="Calibri"/>
          <w:b/>
          <w:bCs/>
          <w:noProof/>
          <w:lang w:val="es-DO"/>
        </w:rPr>
        <w:t>Trabajo en equipo:</w:t>
      </w:r>
      <w:r w:rsidRPr="00310D52">
        <w:rPr>
          <w:rFonts w:eastAsia="Calibri"/>
          <w:noProof/>
          <w:lang w:val="es-DO"/>
        </w:rPr>
        <w:t xml:space="preserve"> Integrar los esfuerzos humanos a fin de crear la sinergia necesaria para dar las mejores atenciones a la</w:t>
      </w:r>
      <w:r w:rsidR="00851FA4" w:rsidRPr="00310D52">
        <w:rPr>
          <w:rFonts w:eastAsia="Calibri"/>
          <w:noProof/>
          <w:lang w:val="es-DO"/>
        </w:rPr>
        <w:t xml:space="preserve"> </w:t>
      </w:r>
      <w:r w:rsidRPr="00310D52">
        <w:rPr>
          <w:rFonts w:eastAsia="Calibri"/>
          <w:noProof/>
          <w:lang w:val="es-DO"/>
        </w:rPr>
        <w:t>población como parte de un mismo organismo.</w:t>
      </w:r>
    </w:p>
    <w:p w14:paraId="0D668D41" w14:textId="41CCEF12" w:rsidR="00654164" w:rsidRPr="00F06D9C" w:rsidRDefault="00D4456C" w:rsidP="00434602">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7" w:name="_Toc217050876"/>
      <w:r w:rsidRPr="00F06D9C">
        <w:rPr>
          <w:rFonts w:eastAsiaTheme="majorEastAsia"/>
          <w:b/>
          <w:spacing w:val="0"/>
          <w:szCs w:val="28"/>
          <w:lang w:val="es-DO"/>
        </w:rPr>
        <w:lastRenderedPageBreak/>
        <w:t>Base Legal</w:t>
      </w:r>
      <w:bookmarkEnd w:id="7"/>
    </w:p>
    <w:p w14:paraId="245837FF" w14:textId="5D5B4FA6" w:rsidR="00D4456C" w:rsidRPr="00310D52" w:rsidRDefault="00B92191" w:rsidP="00434602">
      <w:pPr>
        <w:pStyle w:val="Prrafodelista"/>
        <w:numPr>
          <w:ilvl w:val="0"/>
          <w:numId w:val="5"/>
        </w:numPr>
        <w:spacing w:line="360" w:lineRule="auto"/>
        <w:jc w:val="both"/>
        <w:rPr>
          <w:rFonts w:eastAsia="Calibri"/>
          <w:noProof/>
          <w:lang w:val="es-DO"/>
        </w:rPr>
      </w:pPr>
      <w:r w:rsidRPr="00310D52">
        <w:rPr>
          <w:rFonts w:eastAsia="Calibri"/>
          <w:noProof/>
          <w:lang w:val="es-DO"/>
        </w:rPr>
        <w:t>Constitución de la República Dominicana (2015)</w:t>
      </w:r>
    </w:p>
    <w:p w14:paraId="67690388" w14:textId="730B7970"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Ley No. 184-17 del Sistema Nacional de Atención a Emergencias y Seguridad 9-1-1 (Que deroga la Ley 140-13).</w:t>
      </w:r>
    </w:p>
    <w:p w14:paraId="42B966B3" w14:textId="723BBA44"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Ley 42-01 General de Salud.</w:t>
      </w:r>
    </w:p>
    <w:p w14:paraId="5DA5C940" w14:textId="6F415AA6"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Decreto 489-22 Dirección de Servicios de Atención a Emergencias Médicas Extrahospitalarias.</w:t>
      </w:r>
    </w:p>
    <w:p w14:paraId="3C268F7E" w14:textId="5523EB26"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Decreto 290-22, designa al mayor general abogado ® Juan Manuel Mendez Garcia ERD Director de Emergencias Médicas.</w:t>
      </w:r>
    </w:p>
    <w:p w14:paraId="2E5B9630" w14:textId="63CC3265"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Decreto 200-16 Crea la Comision para la Integracion de la Red Unica de Servicios Publicos de Salud 12 de Agosto 2016.</w:t>
      </w:r>
    </w:p>
    <w:p w14:paraId="0A9D78DF" w14:textId="23DE297B"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Decreto 74-10 Cambia Denominaci</w:t>
      </w:r>
      <w:r w:rsidR="004126E1" w:rsidRPr="00310D52">
        <w:rPr>
          <w:rFonts w:eastAsia="Calibri"/>
          <w:noProof/>
          <w:lang w:val="es-DO"/>
        </w:rPr>
        <w:t>ó</w:t>
      </w:r>
      <w:r w:rsidRPr="00310D52">
        <w:rPr>
          <w:rFonts w:eastAsia="Calibri"/>
          <w:noProof/>
          <w:lang w:val="es-DO"/>
        </w:rPr>
        <w:t>n SESPAS a Ministerio 12 de Febrero 2010.</w:t>
      </w:r>
    </w:p>
    <w:p w14:paraId="5632B6C9" w14:textId="07926B71" w:rsidR="00D4456C"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Resolución Núm. 00025 de 2015- Art 5: Reconvierte la Dirección Nacional de Emergencias y Desastres y la divide dos direcciones:  La Dirección de Gestión de Riesgos y Atención de Desastres, que forma parte del Viceministerio de Salud y La Dirección General de Emergencias Médicas como unidad desconcentrada del MSP y cuya finalidad principal será gestionar el Sistema de Emergencias Médicas del 9</w:t>
      </w:r>
      <w:r w:rsidR="008358E8" w:rsidRPr="00310D52">
        <w:rPr>
          <w:rFonts w:eastAsia="Calibri"/>
          <w:noProof/>
          <w:lang w:val="es-DO"/>
        </w:rPr>
        <w:t>-</w:t>
      </w:r>
      <w:r w:rsidRPr="00310D52">
        <w:rPr>
          <w:rFonts w:eastAsia="Calibri"/>
          <w:noProof/>
          <w:lang w:val="es-DO"/>
        </w:rPr>
        <w:t>1</w:t>
      </w:r>
      <w:r w:rsidR="008358E8" w:rsidRPr="00310D52">
        <w:rPr>
          <w:rFonts w:eastAsia="Calibri"/>
          <w:noProof/>
          <w:lang w:val="es-DO"/>
        </w:rPr>
        <w:t>-</w:t>
      </w:r>
      <w:r w:rsidRPr="00310D52">
        <w:rPr>
          <w:rFonts w:eastAsia="Calibri"/>
          <w:noProof/>
          <w:lang w:val="es-DO"/>
        </w:rPr>
        <w:t>1 y los CRUE.</w:t>
      </w:r>
    </w:p>
    <w:p w14:paraId="4AEE5010" w14:textId="417648F1" w:rsidR="00AB7AA1" w:rsidRPr="00310D52" w:rsidRDefault="00D4456C" w:rsidP="00434602">
      <w:pPr>
        <w:pStyle w:val="Prrafodelista"/>
        <w:numPr>
          <w:ilvl w:val="0"/>
          <w:numId w:val="5"/>
        </w:numPr>
        <w:spacing w:line="360" w:lineRule="auto"/>
        <w:jc w:val="both"/>
        <w:rPr>
          <w:rFonts w:eastAsia="Calibri"/>
          <w:noProof/>
          <w:lang w:val="es-DO"/>
        </w:rPr>
      </w:pPr>
      <w:r w:rsidRPr="00310D52">
        <w:rPr>
          <w:rFonts w:eastAsia="Calibri"/>
          <w:noProof/>
          <w:lang w:val="es-DO"/>
        </w:rPr>
        <w:t>Reglamento T</w:t>
      </w:r>
      <w:r w:rsidR="00B92191" w:rsidRPr="00310D52">
        <w:rPr>
          <w:rFonts w:eastAsia="Calibri"/>
          <w:noProof/>
          <w:lang w:val="es-DO"/>
        </w:rPr>
        <w:t>é</w:t>
      </w:r>
      <w:r w:rsidRPr="00310D52">
        <w:rPr>
          <w:rFonts w:eastAsia="Calibri"/>
          <w:noProof/>
          <w:lang w:val="es-DO"/>
        </w:rPr>
        <w:t>cnico para la habilitaci</w:t>
      </w:r>
      <w:r w:rsidR="00B92191" w:rsidRPr="00310D52">
        <w:rPr>
          <w:rFonts w:eastAsia="Calibri"/>
          <w:noProof/>
          <w:lang w:val="es-DO"/>
        </w:rPr>
        <w:t>ó</w:t>
      </w:r>
      <w:r w:rsidRPr="00310D52">
        <w:rPr>
          <w:rFonts w:eastAsia="Calibri"/>
          <w:noProof/>
          <w:lang w:val="es-DO"/>
        </w:rPr>
        <w:t>n de Servicios de Ambulancia Terrestre</w:t>
      </w:r>
      <w:r w:rsidR="00851FA4" w:rsidRPr="00310D52">
        <w:rPr>
          <w:rFonts w:eastAsia="Calibri"/>
          <w:noProof/>
          <w:lang w:val="es-DO"/>
        </w:rPr>
        <w:t>.</w:t>
      </w:r>
    </w:p>
    <w:p w14:paraId="625CAF9D" w14:textId="77777777" w:rsidR="00851FA4" w:rsidRPr="00310D52" w:rsidRDefault="00851FA4" w:rsidP="00434602">
      <w:pPr>
        <w:spacing w:line="360" w:lineRule="auto"/>
        <w:jc w:val="both"/>
        <w:rPr>
          <w:rFonts w:eastAsiaTheme="majorEastAsia"/>
          <w:b/>
          <w:spacing w:val="0"/>
          <w:sz w:val="28"/>
          <w:szCs w:val="32"/>
          <w:lang w:val="es-DO"/>
        </w:rPr>
      </w:pPr>
    </w:p>
    <w:p w14:paraId="1A7A7D90" w14:textId="77777777" w:rsidR="00851FA4" w:rsidRPr="00310D52" w:rsidRDefault="00851FA4" w:rsidP="00434602">
      <w:pPr>
        <w:spacing w:line="360" w:lineRule="auto"/>
        <w:jc w:val="both"/>
        <w:rPr>
          <w:rFonts w:eastAsiaTheme="majorEastAsia"/>
          <w:b/>
          <w:spacing w:val="0"/>
          <w:sz w:val="28"/>
          <w:szCs w:val="32"/>
          <w:lang w:val="es-DO"/>
        </w:rPr>
      </w:pPr>
    </w:p>
    <w:p w14:paraId="08D1C4BB" w14:textId="77777777" w:rsidR="00851FA4" w:rsidRPr="00310D52" w:rsidRDefault="00851FA4" w:rsidP="00434602">
      <w:pPr>
        <w:spacing w:line="360" w:lineRule="auto"/>
        <w:jc w:val="both"/>
        <w:rPr>
          <w:rFonts w:eastAsiaTheme="majorEastAsia"/>
          <w:b/>
          <w:spacing w:val="0"/>
          <w:sz w:val="28"/>
          <w:szCs w:val="32"/>
          <w:lang w:val="es-DO"/>
        </w:rPr>
      </w:pPr>
    </w:p>
    <w:p w14:paraId="0B152333" w14:textId="77777777" w:rsidR="00851FA4" w:rsidRPr="00310D52" w:rsidRDefault="00851FA4" w:rsidP="00434602">
      <w:pPr>
        <w:spacing w:line="360" w:lineRule="auto"/>
        <w:jc w:val="both"/>
        <w:rPr>
          <w:rFonts w:eastAsiaTheme="majorEastAsia"/>
          <w:b/>
          <w:spacing w:val="0"/>
          <w:sz w:val="28"/>
          <w:szCs w:val="32"/>
          <w:lang w:val="es-DO"/>
        </w:rPr>
      </w:pPr>
    </w:p>
    <w:p w14:paraId="42F80F71" w14:textId="70DDBD9E" w:rsidR="00D4456C" w:rsidRPr="00F06D9C" w:rsidRDefault="00851FA4" w:rsidP="00434602">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8" w:name="_Toc217050877"/>
      <w:r w:rsidRPr="00F06D9C">
        <w:rPr>
          <w:rFonts w:eastAsiaTheme="majorEastAsia"/>
          <w:b/>
          <w:noProof/>
          <w:spacing w:val="0"/>
          <w:szCs w:val="28"/>
          <w:lang w:val="es-DO"/>
        </w:rPr>
        <w:lastRenderedPageBreak/>
        <w:drawing>
          <wp:anchor distT="0" distB="0" distL="114300" distR="114300" simplePos="0" relativeHeight="251738112" behindDoc="1" locked="0" layoutInCell="1" allowOverlap="1" wp14:anchorId="3A79376F" wp14:editId="798AE888">
            <wp:simplePos x="0" y="0"/>
            <wp:positionH relativeFrom="margin">
              <wp:posOffset>-495300</wp:posOffset>
            </wp:positionH>
            <wp:positionV relativeFrom="page">
              <wp:posOffset>1238250</wp:posOffset>
            </wp:positionV>
            <wp:extent cx="6667500" cy="5121275"/>
            <wp:effectExtent l="0" t="0" r="0" b="3175"/>
            <wp:wrapTight wrapText="bothSides">
              <wp:wrapPolygon edited="0">
                <wp:start x="0" y="0"/>
                <wp:lineTo x="0" y="21533"/>
                <wp:lineTo x="21538" y="21533"/>
                <wp:lineTo x="21538" y="0"/>
                <wp:lineTo x="0" y="0"/>
              </wp:wrapPolygon>
            </wp:wrapTight>
            <wp:docPr id="1368218415" name="Imagen 14" descr="Captura de pantalla de un cel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218415" name="Imagen 14" descr="Captura de pantalla de un celular&#10;&#10;Descripción generada automáticamente"/>
                    <pic:cNvPicPr/>
                  </pic:nvPicPr>
                  <pic:blipFill rotWithShape="1">
                    <a:blip r:embed="rId14">
                      <a:extLst>
                        <a:ext uri="{28A0092B-C50C-407E-A947-70E740481C1C}">
                          <a14:useLocalDpi xmlns:a14="http://schemas.microsoft.com/office/drawing/2010/main" val="0"/>
                        </a:ext>
                      </a:extLst>
                    </a:blip>
                    <a:srcRect l="4406" t="3613" r="4671" b="2725"/>
                    <a:stretch>
                      <a:fillRect/>
                    </a:stretch>
                  </pic:blipFill>
                  <pic:spPr bwMode="auto">
                    <a:xfrm>
                      <a:off x="0" y="0"/>
                      <a:ext cx="6667500" cy="51212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06D9C">
        <w:rPr>
          <w:rFonts w:eastAsiaTheme="majorEastAsia"/>
          <w:b/>
          <w:spacing w:val="0"/>
          <w:szCs w:val="28"/>
          <w:lang w:val="es-DO"/>
        </w:rPr>
        <w:t>Estructura organizativa</w:t>
      </w:r>
      <w:bookmarkEnd w:id="8"/>
    </w:p>
    <w:p w14:paraId="689D64CC" w14:textId="6E2A892F" w:rsidR="00851FA4" w:rsidRPr="00310D52" w:rsidRDefault="00851FA4" w:rsidP="00434602">
      <w:pPr>
        <w:spacing w:line="360" w:lineRule="auto"/>
        <w:jc w:val="both"/>
        <w:rPr>
          <w:rFonts w:eastAsia="Calibri"/>
          <w:noProof/>
          <w:lang w:val="es-DO"/>
        </w:rPr>
      </w:pPr>
    </w:p>
    <w:p w14:paraId="366CD924" w14:textId="77777777" w:rsidR="00851FA4" w:rsidRPr="00310D52" w:rsidRDefault="00851FA4" w:rsidP="00434602">
      <w:pPr>
        <w:spacing w:line="360" w:lineRule="auto"/>
        <w:jc w:val="both"/>
        <w:rPr>
          <w:rFonts w:eastAsia="Calibri"/>
          <w:b/>
          <w:bCs/>
          <w:noProof/>
          <w:lang w:val="es-DO"/>
        </w:rPr>
      </w:pPr>
      <w:r w:rsidRPr="00310D52">
        <w:rPr>
          <w:rFonts w:eastAsia="Calibri"/>
          <w:b/>
          <w:bCs/>
          <w:noProof/>
          <w:lang w:val="es-DO"/>
        </w:rPr>
        <w:t>Principales Funcionarios</w:t>
      </w:r>
    </w:p>
    <w:p w14:paraId="1A1BA6C6" w14:textId="3BAFD2E2"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Juan Manuel Méndez García,</w:t>
      </w:r>
      <w:r w:rsidRPr="00310D52">
        <w:rPr>
          <w:rFonts w:eastAsia="Calibri"/>
          <w:noProof/>
          <w:lang w:val="es-DO"/>
        </w:rPr>
        <w:t xml:space="preserve"> Director.</w:t>
      </w:r>
    </w:p>
    <w:p w14:paraId="3655DFCD" w14:textId="02D5866C" w:rsidR="00AD127A"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Ruddy De Gracia Pérez</w:t>
      </w:r>
      <w:r w:rsidRPr="00310D52">
        <w:rPr>
          <w:rFonts w:eastAsia="Calibri"/>
          <w:noProof/>
          <w:lang w:val="es-DO"/>
        </w:rPr>
        <w:t>, Encargado del Departamento de Getión Extra</w:t>
      </w:r>
      <w:r w:rsidR="00B92191" w:rsidRPr="00310D52">
        <w:rPr>
          <w:rFonts w:eastAsia="Calibri"/>
          <w:noProof/>
          <w:lang w:val="es-DO"/>
        </w:rPr>
        <w:t>h</w:t>
      </w:r>
      <w:r w:rsidRPr="00310D52">
        <w:rPr>
          <w:rFonts w:eastAsia="Calibri"/>
          <w:noProof/>
          <w:lang w:val="es-DO"/>
        </w:rPr>
        <w:t>ospitalaria.</w:t>
      </w:r>
    </w:p>
    <w:p w14:paraId="5973985E" w14:textId="0E4F9561" w:rsidR="00AD127A"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Luisanna Mercedes</w:t>
      </w:r>
      <w:r w:rsidRPr="00310D52">
        <w:rPr>
          <w:rFonts w:eastAsia="Calibri"/>
          <w:noProof/>
          <w:lang w:val="es-DO"/>
        </w:rPr>
        <w:t>, Encargada del Departamento de Gestión de Riesgos, y Preparación y Respuesta ante Desastres.</w:t>
      </w:r>
    </w:p>
    <w:p w14:paraId="0C08E744" w14:textId="77777777" w:rsidR="00380E47" w:rsidRPr="00310D52" w:rsidRDefault="00380E47"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Rafael Vila</w:t>
      </w:r>
      <w:r w:rsidRPr="00310D52">
        <w:rPr>
          <w:rFonts w:eastAsia="Calibri"/>
          <w:noProof/>
          <w:lang w:val="es-DO"/>
        </w:rPr>
        <w:t>, Encargado del Departamento de Seguridad.</w:t>
      </w:r>
    </w:p>
    <w:p w14:paraId="31D9C502" w14:textId="1E226B94"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lastRenderedPageBreak/>
        <w:t>José Aljeriz Jerez</w:t>
      </w:r>
      <w:r w:rsidRPr="00310D52">
        <w:rPr>
          <w:rFonts w:eastAsia="Calibri"/>
          <w:noProof/>
          <w:lang w:val="es-DO"/>
        </w:rPr>
        <w:t>, Encargado del Departamento de Coordinación y Enlace con la Red Pública de Salud.</w:t>
      </w:r>
    </w:p>
    <w:p w14:paraId="3A858E81" w14:textId="2985CF3B"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Eris Antonio Feliz</w:t>
      </w:r>
      <w:r w:rsidRPr="00310D52">
        <w:rPr>
          <w:rFonts w:eastAsia="Calibri"/>
          <w:noProof/>
          <w:lang w:val="es-DO"/>
        </w:rPr>
        <w:t>, Encargado del Departamento Administrativo Financiero.</w:t>
      </w:r>
    </w:p>
    <w:p w14:paraId="39BE31D1" w14:textId="70200AEC"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Tomas García</w:t>
      </w:r>
      <w:r w:rsidR="00851FA4" w:rsidRPr="00310D52">
        <w:rPr>
          <w:rFonts w:eastAsia="Calibri"/>
          <w:noProof/>
          <w:lang w:val="es-DO"/>
        </w:rPr>
        <w:t>, Encargado del Departamento de Tecnologías de la Información y Comunicación.</w:t>
      </w:r>
    </w:p>
    <w:p w14:paraId="5089E80E" w14:textId="5099DCAB"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Bertha Patricia Lahoz Banks</w:t>
      </w:r>
      <w:r w:rsidRPr="00310D52">
        <w:rPr>
          <w:rFonts w:eastAsia="Calibri"/>
          <w:noProof/>
          <w:lang w:val="es-DO"/>
        </w:rPr>
        <w:t>, Encargada del Departamento de Planificación y Desarrollo.</w:t>
      </w:r>
    </w:p>
    <w:p w14:paraId="559845B7" w14:textId="65999CA8"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Alina Guzmán Huma</w:t>
      </w:r>
      <w:r w:rsidR="00851FA4" w:rsidRPr="00310D52">
        <w:rPr>
          <w:rFonts w:eastAsia="Calibri"/>
          <w:noProof/>
          <w:lang w:val="es-DO"/>
        </w:rPr>
        <w:t>, Encargada del Departamento de Recursos Humanos.</w:t>
      </w:r>
    </w:p>
    <w:p w14:paraId="4DB75525" w14:textId="4E92ABCD"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Adolfo Pérez Pérez</w:t>
      </w:r>
      <w:r w:rsidRPr="00310D52">
        <w:rPr>
          <w:rFonts w:eastAsia="Calibri"/>
          <w:noProof/>
          <w:lang w:val="es-DO"/>
        </w:rPr>
        <w:t>, Encargado del Departamento Jurídico.</w:t>
      </w:r>
    </w:p>
    <w:p w14:paraId="0D4A5A37" w14:textId="0033D969"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Rosa Elena Laurencio</w:t>
      </w:r>
      <w:r w:rsidRPr="00310D52">
        <w:rPr>
          <w:rFonts w:eastAsia="Calibri"/>
          <w:noProof/>
          <w:lang w:val="es-DO"/>
        </w:rPr>
        <w:t>, Encargada de la División de Fiscalización.</w:t>
      </w:r>
    </w:p>
    <w:p w14:paraId="7873A76D" w14:textId="0D6BC255" w:rsidR="00851FA4" w:rsidRPr="00310D52" w:rsidRDefault="00851FA4"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Diomel Alexis García</w:t>
      </w:r>
      <w:r w:rsidR="00AD127A" w:rsidRPr="00310D52">
        <w:rPr>
          <w:rFonts w:eastAsia="Calibri"/>
          <w:noProof/>
          <w:lang w:val="es-DO"/>
        </w:rPr>
        <w:t>,</w:t>
      </w:r>
      <w:r w:rsidRPr="00310D52">
        <w:rPr>
          <w:rFonts w:eastAsia="Calibri"/>
          <w:noProof/>
          <w:lang w:val="es-DO"/>
        </w:rPr>
        <w:t xml:space="preserve"> Encargado de la División de Calidad en la Gestión.</w:t>
      </w:r>
    </w:p>
    <w:p w14:paraId="07EAEA53" w14:textId="578AD599"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Victoriano Constanza Alcántara</w:t>
      </w:r>
      <w:r w:rsidRPr="00310D52">
        <w:rPr>
          <w:rFonts w:eastAsia="Calibri"/>
          <w:noProof/>
          <w:lang w:val="es-DO"/>
        </w:rPr>
        <w:t xml:space="preserve">, </w:t>
      </w:r>
      <w:r w:rsidR="00851FA4" w:rsidRPr="00310D52">
        <w:rPr>
          <w:rFonts w:eastAsia="Calibri"/>
          <w:noProof/>
          <w:lang w:val="es-DO"/>
        </w:rPr>
        <w:t>Encargado de la División de Transportación y Mantenimiento.</w:t>
      </w:r>
    </w:p>
    <w:p w14:paraId="5A2C3104" w14:textId="12B3155E"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Wanda Calderón</w:t>
      </w:r>
      <w:r w:rsidR="00851FA4" w:rsidRPr="00310D52">
        <w:rPr>
          <w:rFonts w:eastAsia="Calibri"/>
          <w:noProof/>
          <w:lang w:val="es-DO"/>
        </w:rPr>
        <w:t>, Encargada de la División de Compras y Contrataciones.</w:t>
      </w:r>
    </w:p>
    <w:p w14:paraId="6C614F80" w14:textId="220E36A3"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Antolín Paniagua</w:t>
      </w:r>
      <w:r w:rsidR="00851FA4" w:rsidRPr="00310D52">
        <w:rPr>
          <w:rFonts w:eastAsia="Calibri"/>
          <w:b/>
          <w:bCs/>
          <w:noProof/>
          <w:lang w:val="es-DO"/>
        </w:rPr>
        <w:t>,</w:t>
      </w:r>
      <w:r w:rsidR="00851FA4" w:rsidRPr="00310D52">
        <w:rPr>
          <w:rFonts w:eastAsia="Calibri"/>
          <w:noProof/>
          <w:lang w:val="es-DO"/>
        </w:rPr>
        <w:t xml:space="preserve"> Encargado de la División Financiera.</w:t>
      </w:r>
    </w:p>
    <w:p w14:paraId="6C33D4AA" w14:textId="7F64BBB0"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Christopher Ortiz</w:t>
      </w:r>
      <w:r w:rsidR="00851FA4" w:rsidRPr="00310D52">
        <w:rPr>
          <w:rFonts w:eastAsia="Calibri"/>
          <w:noProof/>
          <w:lang w:val="es-DO"/>
        </w:rPr>
        <w:t>, Encargado de la División de Almacén y Suministro.</w:t>
      </w:r>
    </w:p>
    <w:p w14:paraId="1B725EA5" w14:textId="2404127F"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Antonio Jiménez</w:t>
      </w:r>
      <w:r w:rsidR="00851FA4" w:rsidRPr="00310D52">
        <w:rPr>
          <w:rFonts w:eastAsia="Calibri"/>
          <w:noProof/>
          <w:lang w:val="es-DO"/>
        </w:rPr>
        <w:t>, Encargado de la División de Operaciones.</w:t>
      </w:r>
    </w:p>
    <w:p w14:paraId="0DA58E2D" w14:textId="33E3FE68"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Fernando Manuel Feliz</w:t>
      </w:r>
      <w:r w:rsidR="00851FA4" w:rsidRPr="00310D52">
        <w:rPr>
          <w:rFonts w:eastAsia="Calibri"/>
          <w:noProof/>
          <w:lang w:val="es-DO"/>
        </w:rPr>
        <w:t>, Encargado de la División de Logística.</w:t>
      </w:r>
    </w:p>
    <w:p w14:paraId="234C0A99" w14:textId="3AE941F6"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Edwin Garay</w:t>
      </w:r>
      <w:r w:rsidR="00851FA4" w:rsidRPr="00310D52">
        <w:rPr>
          <w:rFonts w:eastAsia="Calibri"/>
          <w:noProof/>
          <w:lang w:val="es-DO"/>
        </w:rPr>
        <w:t>, Encargad</w:t>
      </w:r>
      <w:r w:rsidRPr="00310D52">
        <w:rPr>
          <w:rFonts w:eastAsia="Calibri"/>
          <w:noProof/>
          <w:lang w:val="es-DO"/>
        </w:rPr>
        <w:t>o</w:t>
      </w:r>
      <w:r w:rsidR="00851FA4" w:rsidRPr="00310D52">
        <w:rPr>
          <w:rFonts w:eastAsia="Calibri"/>
          <w:noProof/>
          <w:lang w:val="es-DO"/>
        </w:rPr>
        <w:t xml:space="preserve"> de la División de Gestión a Urgencias y Emergencias.</w:t>
      </w:r>
    </w:p>
    <w:p w14:paraId="373F568A" w14:textId="3980ECEE"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Daryelin Cepín</w:t>
      </w:r>
      <w:r w:rsidR="00851FA4" w:rsidRPr="00310D52">
        <w:rPr>
          <w:rFonts w:eastAsia="Calibri"/>
          <w:b/>
          <w:bCs/>
          <w:noProof/>
          <w:lang w:val="es-DO"/>
        </w:rPr>
        <w:t>,</w:t>
      </w:r>
      <w:r w:rsidR="00851FA4" w:rsidRPr="00310D52">
        <w:rPr>
          <w:rFonts w:eastAsia="Calibri"/>
          <w:noProof/>
          <w:lang w:val="es-DO"/>
        </w:rPr>
        <w:t xml:space="preserve"> Encargada de la Sección de Control de Bienes.</w:t>
      </w:r>
    </w:p>
    <w:p w14:paraId="13E7C680" w14:textId="21945CDD" w:rsidR="00851FA4"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Gicela Almonte</w:t>
      </w:r>
      <w:r w:rsidR="00851FA4" w:rsidRPr="00310D52">
        <w:rPr>
          <w:rFonts w:eastAsia="Calibri"/>
          <w:noProof/>
          <w:lang w:val="es-DO"/>
        </w:rPr>
        <w:t>, Encargad</w:t>
      </w:r>
      <w:r w:rsidRPr="00310D52">
        <w:rPr>
          <w:rFonts w:eastAsia="Calibri"/>
          <w:noProof/>
          <w:lang w:val="es-DO"/>
        </w:rPr>
        <w:t>a</w:t>
      </w:r>
      <w:r w:rsidR="00851FA4" w:rsidRPr="00310D52">
        <w:rPr>
          <w:rFonts w:eastAsia="Calibri"/>
          <w:noProof/>
          <w:lang w:val="es-DO"/>
        </w:rPr>
        <w:t xml:space="preserve"> de la Sección de Servicios Generales.</w:t>
      </w:r>
    </w:p>
    <w:p w14:paraId="3BCB9085" w14:textId="3C3FBC1A" w:rsidR="00D4456C" w:rsidRPr="00310D52" w:rsidRDefault="00AD127A" w:rsidP="00434602">
      <w:pPr>
        <w:pStyle w:val="Prrafodelista"/>
        <w:numPr>
          <w:ilvl w:val="0"/>
          <w:numId w:val="6"/>
        </w:numPr>
        <w:spacing w:line="360" w:lineRule="auto"/>
        <w:ind w:left="450"/>
        <w:jc w:val="both"/>
        <w:rPr>
          <w:rFonts w:eastAsia="Calibri"/>
          <w:noProof/>
          <w:lang w:val="es-DO"/>
        </w:rPr>
      </w:pPr>
      <w:r w:rsidRPr="00310D52">
        <w:rPr>
          <w:rFonts w:eastAsia="Calibri"/>
          <w:b/>
          <w:bCs/>
          <w:noProof/>
          <w:lang w:val="es-DO"/>
        </w:rPr>
        <w:t>Jatna González</w:t>
      </w:r>
      <w:r w:rsidR="00851FA4" w:rsidRPr="00310D52">
        <w:rPr>
          <w:rFonts w:eastAsia="Calibri"/>
          <w:b/>
          <w:bCs/>
          <w:noProof/>
          <w:lang w:val="es-DO"/>
        </w:rPr>
        <w:t>,</w:t>
      </w:r>
      <w:r w:rsidR="00851FA4" w:rsidRPr="00310D52">
        <w:rPr>
          <w:rFonts w:eastAsia="Calibri"/>
          <w:noProof/>
          <w:lang w:val="es-DO"/>
        </w:rPr>
        <w:t xml:space="preserve"> Encargada de la Sección de Correspondencia.</w:t>
      </w:r>
    </w:p>
    <w:p w14:paraId="22B3DDFF" w14:textId="66560076" w:rsidR="00CA4CED" w:rsidRPr="00F06D9C" w:rsidRDefault="00380E47" w:rsidP="00434602">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9" w:name="_Toc217050878"/>
      <w:r w:rsidRPr="00F06D9C">
        <w:rPr>
          <w:rFonts w:eastAsiaTheme="majorEastAsia"/>
          <w:b/>
          <w:spacing w:val="0"/>
          <w:szCs w:val="28"/>
          <w:lang w:val="es-DO"/>
        </w:rPr>
        <w:lastRenderedPageBreak/>
        <w:t>Planificación estratégica institucional</w:t>
      </w:r>
      <w:bookmarkEnd w:id="9"/>
    </w:p>
    <w:p w14:paraId="505EF213" w14:textId="5E98B064" w:rsidR="00BD0DA6" w:rsidRPr="00310D52" w:rsidRDefault="00BD0DA6" w:rsidP="00434602">
      <w:pPr>
        <w:spacing w:line="360" w:lineRule="auto"/>
        <w:jc w:val="both"/>
        <w:rPr>
          <w:rFonts w:eastAsia="Calibri"/>
          <w:noProof/>
          <w:lang w:val="es-DO"/>
        </w:rPr>
      </w:pPr>
      <w:r w:rsidRPr="00310D52">
        <w:rPr>
          <w:rFonts w:eastAsia="Calibri"/>
          <w:noProof/>
          <w:lang w:val="es-DO"/>
        </w:rPr>
        <w:t>La Dirección de Servicios de Atención a Emergencias Extrahospitalarias (DAEH) cuenta con un Plan Estratégico Institucional (PEI 2025-2028), elaborado conforme a los lineamientos del Sistema Nacional de Planificación, la Estrategia Nacional de Desarrollo 2030, el Plan Nacional Plurianual del Sector Público y las directrices del Ministerio de Economía, Planificación y Desarrollo (MEPyD).</w:t>
      </w:r>
    </w:p>
    <w:p w14:paraId="4AA240DF" w14:textId="6579A20F" w:rsidR="00380E47" w:rsidRPr="00310D52" w:rsidRDefault="00BD0DA6" w:rsidP="00434602">
      <w:pPr>
        <w:spacing w:line="360" w:lineRule="auto"/>
        <w:jc w:val="both"/>
        <w:rPr>
          <w:rFonts w:eastAsia="Calibri"/>
          <w:noProof/>
          <w:lang w:val="es-DO"/>
        </w:rPr>
      </w:pPr>
      <w:r w:rsidRPr="00310D52">
        <w:rPr>
          <w:rFonts w:eastAsia="Calibri"/>
          <w:noProof/>
          <w:lang w:val="es-DO"/>
        </w:rPr>
        <w:t>El PEI constituye el instrumento rector que orienta las acciones institucionales durante el período 2025-2028, definiendo la ruta estratégica para fortalecer la atención prehospitalaria, garantizar la continuidad operativa del servicio, optimizar los recursos y mejorar la calidad de la respuesta a las emergencias en todo el territorio nacional.</w:t>
      </w:r>
    </w:p>
    <w:p w14:paraId="655E9C5B" w14:textId="77777777" w:rsidR="00D942C2" w:rsidRPr="00310D52" w:rsidRDefault="00D942C2" w:rsidP="00434602">
      <w:pPr>
        <w:spacing w:line="360" w:lineRule="auto"/>
        <w:jc w:val="both"/>
        <w:rPr>
          <w:rFonts w:eastAsia="Calibri"/>
          <w:noProof/>
          <w:lang w:val="es-DO"/>
        </w:rPr>
      </w:pPr>
      <w:r w:rsidRPr="00310D52">
        <w:rPr>
          <w:rFonts w:eastAsia="Calibri"/>
          <w:noProof/>
          <w:lang w:val="es-DO"/>
        </w:rPr>
        <w:t>El direccionamiento estratégico se organiza en ejes y objetivos generales orientados al logro de resultados institucionales, entre los que destacan:</w:t>
      </w:r>
    </w:p>
    <w:p w14:paraId="5493D4C3" w14:textId="5502BECD" w:rsidR="00BD0DA6" w:rsidRPr="00310D52" w:rsidRDefault="00BD0DA6" w:rsidP="00434602">
      <w:pPr>
        <w:spacing w:line="360" w:lineRule="auto"/>
        <w:jc w:val="both"/>
        <w:rPr>
          <w:rFonts w:eastAsia="Calibri"/>
          <w:noProof/>
          <w:lang w:val="es-DO"/>
        </w:rPr>
      </w:pPr>
      <w:r w:rsidRPr="00310D52">
        <w:rPr>
          <w:rFonts w:eastAsia="Calibri"/>
          <w:b/>
          <w:bCs/>
          <w:noProof/>
          <w:lang w:val="es-DO"/>
        </w:rPr>
        <w:t>Eje 1:</w:t>
      </w:r>
      <w:r w:rsidRPr="00310D52">
        <w:rPr>
          <w:rFonts w:eastAsia="Calibri"/>
          <w:noProof/>
          <w:lang w:val="es-DO"/>
        </w:rPr>
        <w:t xml:space="preserve"> </w:t>
      </w:r>
      <w:r w:rsidRPr="00310D52">
        <w:rPr>
          <w:rFonts w:eastAsia="Calibri"/>
          <w:b/>
          <w:bCs/>
          <w:noProof/>
          <w:lang w:val="es-DO"/>
        </w:rPr>
        <w:t>Provisión y calidad de los servicios</w:t>
      </w:r>
    </w:p>
    <w:p w14:paraId="6E3F23AC" w14:textId="75A8A8C9" w:rsidR="00BD0DA6" w:rsidRPr="00310D52" w:rsidRDefault="00BD0DA6" w:rsidP="00434602">
      <w:pPr>
        <w:spacing w:line="360" w:lineRule="auto"/>
        <w:jc w:val="both"/>
        <w:rPr>
          <w:rFonts w:eastAsia="Calibri"/>
          <w:noProof/>
          <w:lang w:val="es-DO"/>
        </w:rPr>
      </w:pPr>
      <w:r w:rsidRPr="00310D52">
        <w:rPr>
          <w:rFonts w:eastAsia="Calibri"/>
          <w:b/>
          <w:bCs/>
          <w:noProof/>
          <w:lang w:val="es-DO"/>
        </w:rPr>
        <w:t xml:space="preserve">Objetivo General 1: </w:t>
      </w:r>
      <w:r w:rsidRPr="00310D52">
        <w:rPr>
          <w:rFonts w:eastAsia="Calibri"/>
          <w:noProof/>
          <w:lang w:val="es-DO"/>
        </w:rPr>
        <w:t>Proveer la atención a emergencias y urgencias de salud a nivel extrahospitalario, de acuerdo con su prioridad de atención, en el menor tiempo posible, cumpliendo con las normas y protocolos establecidos, asegurando contar con vehículos y equipos de transporte adecuados para llevar al paciente al hospital de manera segura y rápida.</w:t>
      </w:r>
    </w:p>
    <w:p w14:paraId="3C6A8034" w14:textId="5553A927" w:rsidR="00BD0DA6" w:rsidRPr="00310D52" w:rsidRDefault="00BD0DA6" w:rsidP="00434602">
      <w:pPr>
        <w:spacing w:line="360" w:lineRule="auto"/>
        <w:jc w:val="both"/>
        <w:rPr>
          <w:rFonts w:eastAsia="Calibri"/>
          <w:noProof/>
          <w:lang w:val="es-DO"/>
        </w:rPr>
      </w:pPr>
      <w:r w:rsidRPr="00310D52">
        <w:rPr>
          <w:rFonts w:eastAsia="Calibri"/>
          <w:b/>
          <w:bCs/>
          <w:noProof/>
          <w:lang w:val="es-DO"/>
        </w:rPr>
        <w:t>Eje 2:</w:t>
      </w:r>
      <w:r w:rsidRPr="00310D52">
        <w:rPr>
          <w:rFonts w:eastAsia="Calibri"/>
          <w:noProof/>
          <w:lang w:val="es-DO"/>
        </w:rPr>
        <w:t xml:space="preserve"> </w:t>
      </w:r>
      <w:r w:rsidRPr="00310D52">
        <w:rPr>
          <w:rFonts w:eastAsia="Calibri"/>
          <w:b/>
          <w:bCs/>
          <w:noProof/>
          <w:lang w:val="es-DO"/>
        </w:rPr>
        <w:t>Regulación y control del sistema de emergencias</w:t>
      </w:r>
    </w:p>
    <w:p w14:paraId="1E9C7E25" w14:textId="2B440058" w:rsidR="00BD0DA6" w:rsidRPr="00310D52" w:rsidRDefault="00BD0DA6" w:rsidP="00434602">
      <w:pPr>
        <w:spacing w:line="360" w:lineRule="auto"/>
        <w:jc w:val="both"/>
        <w:rPr>
          <w:rFonts w:eastAsia="Calibri"/>
          <w:noProof/>
          <w:lang w:val="es-DO"/>
        </w:rPr>
      </w:pPr>
      <w:r w:rsidRPr="00310D52">
        <w:rPr>
          <w:rFonts w:eastAsia="Calibri"/>
          <w:b/>
          <w:bCs/>
          <w:noProof/>
          <w:lang w:val="es-DO"/>
        </w:rPr>
        <w:t xml:space="preserve">Objetivo General 2: </w:t>
      </w:r>
      <w:r w:rsidRPr="00310D52">
        <w:rPr>
          <w:rFonts w:eastAsia="Calibri"/>
          <w:noProof/>
          <w:lang w:val="es-DO"/>
        </w:rPr>
        <w:t xml:space="preserve">Mejorar el acceso y la oportunidad a los servicios de urgencias de la población en general, en forma ordenada y racional, a través de la coordinación con el sistema de referencia y contra referencia </w:t>
      </w:r>
      <w:r w:rsidRPr="00310D52">
        <w:rPr>
          <w:rFonts w:eastAsia="Calibri"/>
          <w:noProof/>
          <w:lang w:val="es-DO"/>
        </w:rPr>
        <w:lastRenderedPageBreak/>
        <w:t>atendido por un equipo capacitado de paramédicos o técnicos en emergencias médicas que estén disponibles las 24 horas del día, los 7 días de la semana.</w:t>
      </w:r>
    </w:p>
    <w:p w14:paraId="7D669B5A" w14:textId="66D30D48" w:rsidR="00BD0DA6" w:rsidRPr="00310D52" w:rsidRDefault="00BD0DA6" w:rsidP="00434602">
      <w:pPr>
        <w:spacing w:line="360" w:lineRule="auto"/>
        <w:jc w:val="both"/>
        <w:rPr>
          <w:rFonts w:eastAsia="Calibri"/>
          <w:b/>
          <w:bCs/>
          <w:noProof/>
          <w:lang w:val="es-DO"/>
        </w:rPr>
      </w:pPr>
      <w:r w:rsidRPr="00310D52">
        <w:rPr>
          <w:rFonts w:eastAsia="Calibri"/>
          <w:b/>
          <w:bCs/>
          <w:noProof/>
          <w:lang w:val="es-DO"/>
        </w:rPr>
        <w:t>Eje 3: Coordinación y promoción para lograr resultados en salud</w:t>
      </w:r>
    </w:p>
    <w:p w14:paraId="7726B603" w14:textId="20DC0F45" w:rsidR="00BD0DA6" w:rsidRPr="00310D52" w:rsidRDefault="00BD0DA6" w:rsidP="00434602">
      <w:pPr>
        <w:spacing w:line="360" w:lineRule="auto"/>
        <w:jc w:val="both"/>
        <w:rPr>
          <w:rFonts w:eastAsia="Calibri"/>
          <w:b/>
          <w:bCs/>
          <w:noProof/>
          <w:lang w:val="es-DO"/>
        </w:rPr>
      </w:pPr>
      <w:r w:rsidRPr="00310D52">
        <w:rPr>
          <w:rFonts w:eastAsia="Calibri"/>
          <w:b/>
          <w:bCs/>
          <w:noProof/>
          <w:lang w:val="es-DO"/>
        </w:rPr>
        <w:t xml:space="preserve">Objetivo General 3: </w:t>
      </w:r>
      <w:r w:rsidRPr="00310D52">
        <w:rPr>
          <w:rFonts w:eastAsia="Calibri"/>
          <w:noProof/>
          <w:lang w:val="es-DO"/>
        </w:rPr>
        <w:t>Coordinar la referencia y contra referencia con los centros de salud, para la atención de la población afectada por situaciones de emergencias o desastres, estableciendo una comunicación y coordinación efectiva con otros servicios de emergencia institucionales y otros profesionales de la salud, para garantizar una respuesta oportuna, integral y eficiente en situaciones de emergencia.</w:t>
      </w:r>
    </w:p>
    <w:p w14:paraId="5073B212" w14:textId="0E634CD4" w:rsidR="008B09FC" w:rsidRPr="00310D52" w:rsidRDefault="00BD0DA6" w:rsidP="00434602">
      <w:pPr>
        <w:spacing w:line="360" w:lineRule="auto"/>
        <w:jc w:val="both"/>
        <w:rPr>
          <w:rFonts w:eastAsia="Calibri"/>
          <w:b/>
          <w:bCs/>
          <w:noProof/>
          <w:lang w:val="es-DO"/>
        </w:rPr>
      </w:pPr>
      <w:r w:rsidRPr="00310D52">
        <w:rPr>
          <w:rFonts w:eastAsia="Calibri"/>
          <w:b/>
          <w:bCs/>
          <w:noProof/>
          <w:lang w:val="es-DO"/>
        </w:rPr>
        <w:t>Eje 4: Fortalecimiento y capacidad de gestión institucional</w:t>
      </w:r>
    </w:p>
    <w:p w14:paraId="3684F13E" w14:textId="4E96AB7D" w:rsidR="00BD0DA6" w:rsidRPr="00310D52" w:rsidRDefault="00BD0DA6" w:rsidP="00434602">
      <w:pPr>
        <w:spacing w:line="360" w:lineRule="auto"/>
        <w:jc w:val="both"/>
        <w:rPr>
          <w:rFonts w:eastAsia="Calibri"/>
          <w:noProof/>
          <w:lang w:val="es-DO"/>
        </w:rPr>
      </w:pPr>
      <w:r w:rsidRPr="00310D52">
        <w:rPr>
          <w:rFonts w:eastAsia="Calibri"/>
          <w:b/>
          <w:bCs/>
          <w:noProof/>
          <w:lang w:val="es-DO"/>
        </w:rPr>
        <w:t xml:space="preserve">Objetivo General 4: </w:t>
      </w:r>
      <w:r w:rsidRPr="00310D52">
        <w:rPr>
          <w:rFonts w:eastAsia="Calibri"/>
          <w:noProof/>
          <w:lang w:val="es-DO"/>
        </w:rPr>
        <w:t xml:space="preserve">Avanzar hacia la eficiencia </w:t>
      </w:r>
      <w:r w:rsidR="005F0554" w:rsidRPr="00310D52">
        <w:rPr>
          <w:rFonts w:eastAsia="Calibri"/>
          <w:noProof/>
          <w:lang w:val="es-DO"/>
        </w:rPr>
        <w:t>y</w:t>
      </w:r>
      <w:r w:rsidRPr="00310D52">
        <w:rPr>
          <w:rFonts w:eastAsia="Calibri"/>
          <w:noProof/>
          <w:lang w:val="es-DO"/>
        </w:rPr>
        <w:t xml:space="preserve"> </w:t>
      </w:r>
      <w:r w:rsidR="005F0554" w:rsidRPr="00310D52">
        <w:rPr>
          <w:rFonts w:eastAsia="Calibri"/>
          <w:noProof/>
          <w:lang w:val="es-DO"/>
        </w:rPr>
        <w:t xml:space="preserve">eficacia </w:t>
      </w:r>
      <w:r w:rsidRPr="00310D52">
        <w:rPr>
          <w:rFonts w:eastAsia="Calibri"/>
          <w:noProof/>
          <w:lang w:val="es-DO"/>
        </w:rPr>
        <w:t xml:space="preserve">a nivel organizacional a través del desarrollo de la gestión y optimización de los procesos en cada unidad administrativa y técnica con el establecimiento de proyectos destinados a la modernización de la capacidad institucional existente, uso de los recursos </w:t>
      </w:r>
      <w:r w:rsidR="005F0554" w:rsidRPr="00310D52">
        <w:rPr>
          <w:rFonts w:eastAsia="Calibri"/>
          <w:noProof/>
          <w:lang w:val="es-DO"/>
        </w:rPr>
        <w:t>físicos</w:t>
      </w:r>
      <w:r w:rsidRPr="00310D52">
        <w:rPr>
          <w:rFonts w:eastAsia="Calibri"/>
          <w:noProof/>
          <w:lang w:val="es-DO"/>
        </w:rPr>
        <w:t xml:space="preserve">, tecnológicos, </w:t>
      </w:r>
      <w:r w:rsidR="005F0554" w:rsidRPr="00310D52">
        <w:rPr>
          <w:rFonts w:eastAsia="Calibri"/>
          <w:noProof/>
          <w:lang w:val="es-DO"/>
        </w:rPr>
        <w:t xml:space="preserve">financieros </w:t>
      </w:r>
      <w:r w:rsidRPr="00310D52">
        <w:rPr>
          <w:rFonts w:eastAsia="Calibri"/>
          <w:noProof/>
          <w:lang w:val="es-DO"/>
        </w:rPr>
        <w:t>y la mejora continua de las capacidades del talento humano implementándose el conjunto de intervenciones para la gestión del cambio.</w:t>
      </w:r>
    </w:p>
    <w:p w14:paraId="0B58C175" w14:textId="77777777" w:rsidR="00D942C2" w:rsidRPr="00310D52" w:rsidRDefault="00D942C2" w:rsidP="00434602">
      <w:pPr>
        <w:spacing w:line="360" w:lineRule="auto"/>
        <w:jc w:val="both"/>
        <w:rPr>
          <w:rFonts w:eastAsia="Calibri"/>
          <w:noProof/>
          <w:lang w:val="es-DO"/>
        </w:rPr>
      </w:pPr>
    </w:p>
    <w:p w14:paraId="62A329C1" w14:textId="77777777" w:rsidR="00D942C2" w:rsidRPr="00310D52" w:rsidRDefault="00D942C2" w:rsidP="00434602">
      <w:pPr>
        <w:spacing w:line="360" w:lineRule="auto"/>
        <w:jc w:val="both"/>
        <w:rPr>
          <w:rFonts w:eastAsia="Calibri"/>
          <w:b/>
          <w:bCs/>
          <w:noProof/>
          <w:lang w:val="es-DO"/>
        </w:rPr>
      </w:pPr>
    </w:p>
    <w:p w14:paraId="3A1789C8" w14:textId="77777777" w:rsidR="00D942C2" w:rsidRPr="00310D52" w:rsidRDefault="00D942C2" w:rsidP="00434602">
      <w:pPr>
        <w:spacing w:line="360" w:lineRule="auto"/>
        <w:jc w:val="both"/>
        <w:rPr>
          <w:rFonts w:eastAsia="Calibri"/>
          <w:b/>
          <w:bCs/>
          <w:noProof/>
          <w:lang w:val="es-DO"/>
        </w:rPr>
      </w:pPr>
    </w:p>
    <w:p w14:paraId="09C725CF" w14:textId="77777777" w:rsidR="00D942C2" w:rsidRPr="00310D52" w:rsidRDefault="00D942C2" w:rsidP="00434602">
      <w:pPr>
        <w:spacing w:line="360" w:lineRule="auto"/>
        <w:jc w:val="both"/>
        <w:rPr>
          <w:rFonts w:eastAsia="Calibri"/>
          <w:b/>
          <w:bCs/>
          <w:noProof/>
          <w:lang w:val="es-DO"/>
        </w:rPr>
      </w:pPr>
    </w:p>
    <w:p w14:paraId="53025CD6" w14:textId="77777777" w:rsidR="00D942C2" w:rsidRPr="00310D52" w:rsidRDefault="00D942C2" w:rsidP="00434602">
      <w:pPr>
        <w:spacing w:line="360" w:lineRule="auto"/>
        <w:jc w:val="both"/>
        <w:rPr>
          <w:rFonts w:eastAsia="Calibri"/>
          <w:b/>
          <w:bCs/>
          <w:noProof/>
          <w:lang w:val="es-DO"/>
        </w:rPr>
      </w:pPr>
    </w:p>
    <w:p w14:paraId="20BA078B" w14:textId="77777777" w:rsidR="00D942C2" w:rsidRPr="00310D52" w:rsidRDefault="00D942C2" w:rsidP="00BD0DA6">
      <w:pPr>
        <w:spacing w:line="360" w:lineRule="auto"/>
        <w:jc w:val="both"/>
        <w:rPr>
          <w:rFonts w:eastAsia="Calibri"/>
          <w:b/>
          <w:bCs/>
          <w:noProof/>
          <w:lang w:val="es-DO"/>
        </w:rPr>
      </w:pPr>
    </w:p>
    <w:p w14:paraId="5E396B73" w14:textId="77777777" w:rsidR="00654164" w:rsidRPr="00310D52" w:rsidRDefault="00654164" w:rsidP="00434602">
      <w:pPr>
        <w:pStyle w:val="Ttulo1"/>
        <w:numPr>
          <w:ilvl w:val="0"/>
          <w:numId w:val="1"/>
        </w:numPr>
        <w:rPr>
          <w:rFonts w:cs="Times New Roman"/>
          <w:color w:val="767171"/>
          <w:lang w:val="es-DO"/>
        </w:rPr>
      </w:pPr>
      <w:bookmarkStart w:id="10" w:name="_Toc217050879"/>
      <w:r w:rsidRPr="00310D52">
        <w:rPr>
          <w:rFonts w:cs="Times New Roman"/>
          <w:color w:val="767171"/>
          <w:lang w:val="es-DO"/>
        </w:rPr>
        <w:lastRenderedPageBreak/>
        <w:t>RESULTADOS MISIONALES</w:t>
      </w:r>
      <w:bookmarkEnd w:id="10"/>
    </w:p>
    <w:p w14:paraId="5BDBF66A" w14:textId="77777777" w:rsidR="00654164" w:rsidRPr="00310D52" w:rsidRDefault="00654164" w:rsidP="00434602">
      <w:pPr>
        <w:spacing w:line="360" w:lineRule="auto"/>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660800" behindDoc="0" locked="0" layoutInCell="1" allowOverlap="1" wp14:anchorId="4DF5F78D" wp14:editId="458EB404">
                <wp:simplePos x="0" y="0"/>
                <wp:positionH relativeFrom="margin">
                  <wp:posOffset>2254250</wp:posOffset>
                </wp:positionH>
                <wp:positionV relativeFrom="paragraph">
                  <wp:posOffset>115570</wp:posOffset>
                </wp:positionV>
                <wp:extent cx="463550" cy="0"/>
                <wp:effectExtent l="22860" t="15875" r="18415" b="2222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AAE8C" id="Straight Connector 14" o:spid="_x0000_s1026" style="position:absolute;z-index:25166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9.1pt" to="214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" strokecolor="#ee2a24" strokeweight="2.25pt">
                <v:stroke joinstyle="miter"/>
                <w10:wrap anchorx="margin"/>
              </v:line>
            </w:pict>
          </mc:Fallback>
        </mc:AlternateContent>
      </w:r>
    </w:p>
    <w:p w14:paraId="02ACB35B" w14:textId="27F73012" w:rsidR="002C2566" w:rsidRPr="00310D52" w:rsidRDefault="00654164" w:rsidP="00434602">
      <w:pPr>
        <w:spacing w:line="360" w:lineRule="auto"/>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4D880386" w14:textId="77777777" w:rsidR="00341A6A" w:rsidRPr="00F06D9C" w:rsidRDefault="00341A6A" w:rsidP="00341A6A">
      <w:pPr>
        <w:keepNext/>
        <w:keepLines/>
        <w:numPr>
          <w:ilvl w:val="1"/>
          <w:numId w:val="10"/>
        </w:numPr>
        <w:spacing w:before="240" w:after="0" w:line="360" w:lineRule="auto"/>
        <w:jc w:val="both"/>
        <w:outlineLvl w:val="0"/>
        <w:rPr>
          <w:rFonts w:eastAsiaTheme="majorEastAsia"/>
          <w:b/>
          <w:spacing w:val="0"/>
          <w:szCs w:val="28"/>
          <w:lang w:val="es-DO"/>
        </w:rPr>
      </w:pPr>
      <w:bookmarkStart w:id="11" w:name="_Toc217050880"/>
      <w:r w:rsidRPr="00F06D9C">
        <w:rPr>
          <w:rFonts w:eastAsiaTheme="majorEastAsia"/>
          <w:b/>
          <w:spacing w:val="0"/>
          <w:szCs w:val="28"/>
          <w:lang w:val="es-DO"/>
        </w:rPr>
        <w:t>Reducción Tiempos de Respuesta</w:t>
      </w:r>
      <w:bookmarkEnd w:id="11"/>
    </w:p>
    <w:p w14:paraId="0F0B39D9" w14:textId="1C861EF9" w:rsidR="00D0435C" w:rsidRPr="00D0435C" w:rsidRDefault="00D0435C" w:rsidP="00D0435C">
      <w:pPr>
        <w:spacing w:line="360" w:lineRule="auto"/>
        <w:ind w:left="90"/>
        <w:jc w:val="both"/>
        <w:rPr>
          <w:rFonts w:eastAsia="Calibri"/>
          <w:noProof/>
          <w:lang w:val="es-DO"/>
        </w:rPr>
      </w:pPr>
      <w:r w:rsidRPr="00D0435C">
        <w:rPr>
          <w:rFonts w:eastAsia="Calibri"/>
          <w:noProof/>
          <w:lang w:val="es-DO"/>
        </w:rPr>
        <w:t>Se logró impactar directamente a la población, generando mayor confianza en el servicio, mediante una reducción de 3 minutos y 29 segundos en el tiempo promedio de respuesta (despacho–llegada), al comparar el mes de diciembre de 2025 con el mes de diciembre de 2024, evidenciando una tendencia a la baja y una mejora en la oportunidad de la atención y en la eficiencia operativa del servicio.</w:t>
      </w:r>
    </w:p>
    <w:p w14:paraId="75FC08F6" w14:textId="3CB6E5BE" w:rsidR="00341A6A" w:rsidRPr="00310D52" w:rsidRDefault="00D0435C" w:rsidP="00D0435C">
      <w:pPr>
        <w:spacing w:line="360" w:lineRule="auto"/>
        <w:ind w:left="90"/>
        <w:jc w:val="both"/>
        <w:rPr>
          <w:rFonts w:eastAsia="Calibri"/>
          <w:noProof/>
          <w:lang w:val="es-DO"/>
        </w:rPr>
      </w:pPr>
      <w:r w:rsidRPr="00D0435C">
        <w:rPr>
          <w:rFonts w:eastAsia="Calibri"/>
          <w:noProof/>
          <w:lang w:val="es-DO"/>
        </w:rPr>
        <w:t>Tal como se muestra en el gráfico siguiente, se presentan los tiempos de respuesta registrados semana por semana durante el período analizado.</w:t>
      </w:r>
    </w:p>
    <w:p w14:paraId="4D0ED82D" w14:textId="01B546A8" w:rsidR="00341A6A" w:rsidRPr="00D0435C" w:rsidRDefault="00341A6A" w:rsidP="00D0435C">
      <w:pPr>
        <w:spacing w:line="360" w:lineRule="auto"/>
        <w:ind w:left="90"/>
        <w:jc w:val="both"/>
        <w:rPr>
          <w:rFonts w:eastAsia="Calibri"/>
          <w:i/>
          <w:iCs/>
          <w:noProof/>
          <w:sz w:val="18"/>
          <w:szCs w:val="18"/>
          <w:lang w:val="es-DO"/>
        </w:rPr>
      </w:pPr>
      <w:r w:rsidRPr="00310D52">
        <w:rPr>
          <w:noProof/>
        </w:rPr>
        <w:drawing>
          <wp:inline distT="0" distB="0" distL="0" distR="0" wp14:anchorId="10AA1A46" wp14:editId="71FE9D9D">
            <wp:extent cx="4972050" cy="2381250"/>
            <wp:effectExtent l="0" t="0" r="0" b="0"/>
            <wp:docPr id="1362451995" name="Gráfico 1">
              <a:extLst xmlns:a="http://schemas.openxmlformats.org/drawingml/2006/main">
                <a:ext uri="{FF2B5EF4-FFF2-40B4-BE49-F238E27FC236}">
                  <a16:creationId xmlns:a16="http://schemas.microsoft.com/office/drawing/2014/main" id="{908E7CEE-23EA-3C79-31AE-DD9DBE1AE9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D0435C" w:rsidRPr="00D0435C">
        <w:rPr>
          <w:rFonts w:eastAsia="Calibri"/>
          <w:i/>
          <w:iCs/>
          <w:noProof/>
          <w:sz w:val="18"/>
          <w:szCs w:val="18"/>
          <w:lang w:val="es-DO"/>
        </w:rPr>
        <w:t xml:space="preserve"> </w:t>
      </w:r>
      <w:r w:rsidR="00D0435C" w:rsidRPr="00310D52">
        <w:rPr>
          <w:rFonts w:eastAsia="Calibri"/>
          <w:i/>
          <w:iCs/>
          <w:noProof/>
          <w:sz w:val="18"/>
          <w:szCs w:val="18"/>
          <w:lang w:val="es-DO"/>
        </w:rPr>
        <w:t>Fuente: Área de Control y Evaluación Prehospitalaria</w:t>
      </w:r>
    </w:p>
    <w:p w14:paraId="4CAEB170" w14:textId="423A2E4B" w:rsidR="00D21195" w:rsidRPr="00F06D9C" w:rsidRDefault="002B5F66" w:rsidP="00434602">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12" w:name="_Toc217050881"/>
      <w:r w:rsidRPr="00F06D9C">
        <w:rPr>
          <w:rFonts w:eastAsiaTheme="majorEastAsia"/>
          <w:b/>
          <w:spacing w:val="0"/>
          <w:szCs w:val="28"/>
          <w:lang w:val="es-DO"/>
        </w:rPr>
        <w:t>Atenciones Prehospitalarias</w:t>
      </w:r>
      <w:bookmarkEnd w:id="12"/>
      <w:r w:rsidRPr="00F06D9C">
        <w:rPr>
          <w:rFonts w:eastAsiaTheme="majorEastAsia"/>
          <w:b/>
          <w:spacing w:val="0"/>
          <w:szCs w:val="28"/>
          <w:lang w:val="es-DO"/>
        </w:rPr>
        <w:t xml:space="preserve"> </w:t>
      </w:r>
    </w:p>
    <w:p w14:paraId="30AF1285" w14:textId="2FE1801F" w:rsidR="00D21195" w:rsidRPr="00310D52" w:rsidRDefault="00D21195" w:rsidP="00434602">
      <w:pPr>
        <w:spacing w:line="360" w:lineRule="auto"/>
        <w:jc w:val="both"/>
        <w:rPr>
          <w:rFonts w:eastAsia="Calibri"/>
          <w:noProof/>
          <w:lang w:val="es-DO"/>
        </w:rPr>
      </w:pPr>
      <w:r w:rsidRPr="00310D52">
        <w:rPr>
          <w:rFonts w:eastAsia="Calibri"/>
          <w:noProof/>
          <w:lang w:val="es-DO"/>
        </w:rPr>
        <w:t xml:space="preserve">Durante el año 2025, </w:t>
      </w:r>
      <w:bookmarkStart w:id="13" w:name="_Hlk216268775"/>
      <w:r w:rsidRPr="00310D52">
        <w:rPr>
          <w:rFonts w:eastAsia="Calibri"/>
          <w:noProof/>
          <w:lang w:val="es-DO"/>
        </w:rPr>
        <w:t>la red de atención prehospitalaria mantuvo un</w:t>
      </w:r>
      <w:r w:rsidR="00FB03B0" w:rsidRPr="00310D52">
        <w:rPr>
          <w:rFonts w:eastAsia="Calibri"/>
          <w:noProof/>
          <w:lang w:val="es-DO"/>
        </w:rPr>
        <w:t xml:space="preserve"> </w:t>
      </w:r>
      <w:r w:rsidRPr="00310D52">
        <w:rPr>
          <w:rFonts w:eastAsia="Calibri"/>
          <w:noProof/>
          <w:lang w:val="es-DO"/>
        </w:rPr>
        <w:t>nivel sostenido de activación y respuesta, brindando asistencia a</w:t>
      </w:r>
      <w:r w:rsidR="00FB03B0" w:rsidRPr="00310D52">
        <w:rPr>
          <w:rFonts w:eastAsia="Calibri"/>
          <w:noProof/>
          <w:lang w:val="es-DO"/>
        </w:rPr>
        <w:t xml:space="preserve"> </w:t>
      </w:r>
      <w:r w:rsidRPr="00310D52">
        <w:rPr>
          <w:rFonts w:eastAsia="Calibri"/>
          <w:noProof/>
          <w:lang w:val="es-DO"/>
        </w:rPr>
        <w:t>usuarios en todo el territorio nacional. En total, se registraron</w:t>
      </w:r>
      <w:r w:rsidR="00FB03B0" w:rsidRPr="00310D52">
        <w:rPr>
          <w:rFonts w:eastAsia="Calibri"/>
          <w:noProof/>
          <w:lang w:val="es-DO"/>
        </w:rPr>
        <w:t xml:space="preserve"> </w:t>
      </w:r>
      <w:r w:rsidRPr="00310D52">
        <w:rPr>
          <w:rFonts w:eastAsia="Calibri"/>
          <w:noProof/>
          <w:lang w:val="es-DO"/>
        </w:rPr>
        <w:t>547,936 asistencias, de las cuales 306,286 correspondieron a</w:t>
      </w:r>
      <w:r w:rsidR="00225C91" w:rsidRPr="00310D52">
        <w:rPr>
          <w:rFonts w:eastAsia="Calibri"/>
          <w:noProof/>
          <w:lang w:val="es-DO"/>
        </w:rPr>
        <w:t xml:space="preserve"> </w:t>
      </w:r>
      <w:r w:rsidRPr="00310D52">
        <w:rPr>
          <w:rFonts w:eastAsia="Calibri"/>
          <w:noProof/>
          <w:lang w:val="es-DO"/>
        </w:rPr>
        <w:t xml:space="preserve">traslados hacia </w:t>
      </w:r>
      <w:r w:rsidRPr="00310D52">
        <w:rPr>
          <w:rFonts w:eastAsia="Calibri"/>
          <w:noProof/>
          <w:lang w:val="es-DO"/>
        </w:rPr>
        <w:lastRenderedPageBreak/>
        <w:t>centros de salud, representando el 56 % del total de</w:t>
      </w:r>
      <w:r w:rsidR="00FB03B0" w:rsidRPr="00310D52">
        <w:rPr>
          <w:rFonts w:eastAsia="Calibri"/>
          <w:noProof/>
          <w:lang w:val="es-DO"/>
        </w:rPr>
        <w:t xml:space="preserve"> </w:t>
      </w:r>
      <w:r w:rsidRPr="00310D52">
        <w:rPr>
          <w:rFonts w:eastAsia="Calibri"/>
          <w:noProof/>
          <w:lang w:val="es-DO"/>
        </w:rPr>
        <w:t>casos. La Región Ozama (Gran Santo Domingo) concentró el mayor</w:t>
      </w:r>
      <w:r w:rsidR="00FB03B0" w:rsidRPr="00310D52">
        <w:rPr>
          <w:rFonts w:eastAsia="Calibri"/>
          <w:noProof/>
          <w:lang w:val="es-DO"/>
        </w:rPr>
        <w:t xml:space="preserve"> </w:t>
      </w:r>
      <w:r w:rsidRPr="00310D52">
        <w:rPr>
          <w:rFonts w:eastAsia="Calibri"/>
          <w:noProof/>
          <w:lang w:val="es-DO"/>
        </w:rPr>
        <w:t>volumen de atención, acumulando el 39 % de todas las asistencias</w:t>
      </w:r>
      <w:r w:rsidR="00FB03B0" w:rsidRPr="00310D52">
        <w:rPr>
          <w:rFonts w:eastAsia="Calibri"/>
          <w:noProof/>
          <w:lang w:val="es-DO"/>
        </w:rPr>
        <w:t>.</w:t>
      </w:r>
    </w:p>
    <w:bookmarkEnd w:id="13"/>
    <w:p w14:paraId="689F9D02" w14:textId="78FD052B" w:rsidR="0066103B" w:rsidRPr="00310D52" w:rsidRDefault="00D21195" w:rsidP="00225C91">
      <w:pPr>
        <w:spacing w:line="360" w:lineRule="auto"/>
        <w:jc w:val="both"/>
        <w:rPr>
          <w:rFonts w:eastAsia="Calibri"/>
          <w:noProof/>
          <w:lang w:val="es-DO"/>
        </w:rPr>
      </w:pPr>
      <w:r w:rsidRPr="00310D52">
        <w:rPr>
          <w:rFonts w:eastAsia="Calibri"/>
          <w:noProof/>
          <w:lang w:val="es-DO"/>
        </w:rPr>
        <w:t>La atención prehospitalaria continuó consolidándose como el primer eslabón de la cadena de supervivencia, impulsada por el</w:t>
      </w:r>
      <w:r w:rsidR="00FB03B0" w:rsidRPr="00310D52">
        <w:rPr>
          <w:rFonts w:eastAsia="Calibri"/>
          <w:noProof/>
          <w:lang w:val="es-DO"/>
        </w:rPr>
        <w:t xml:space="preserve"> </w:t>
      </w:r>
      <w:r w:rsidRPr="00310D52">
        <w:rPr>
          <w:rFonts w:eastAsia="Calibri"/>
          <w:noProof/>
          <w:lang w:val="es-DO"/>
        </w:rPr>
        <w:t xml:space="preserve">fortalecimiento del sistema y la expansión de la flota vehicular, </w:t>
      </w:r>
      <w:bookmarkStart w:id="14" w:name="_Hlk216268919"/>
      <w:r w:rsidRPr="00310D52">
        <w:rPr>
          <w:rFonts w:eastAsia="Calibri"/>
          <w:noProof/>
          <w:lang w:val="es-DO"/>
        </w:rPr>
        <w:t>con</w:t>
      </w:r>
      <w:r w:rsidR="00FB03B0" w:rsidRPr="00310D52">
        <w:rPr>
          <w:rFonts w:eastAsia="Calibri"/>
          <w:noProof/>
          <w:lang w:val="es-DO"/>
        </w:rPr>
        <w:t xml:space="preserve"> </w:t>
      </w:r>
      <w:r w:rsidRPr="00310D52">
        <w:rPr>
          <w:rFonts w:eastAsia="Calibri"/>
          <w:noProof/>
          <w:lang w:val="es-DO"/>
        </w:rPr>
        <w:t>una ejecución presupuestaria ascendente a RD$</w:t>
      </w:r>
      <w:r w:rsidR="00434602" w:rsidRPr="00310D52">
        <w:rPr>
          <w:rFonts w:eastAsia="Calibri"/>
          <w:noProof/>
          <w:lang w:val="es-DO"/>
        </w:rPr>
        <w:t>1,348,771,761.72.</w:t>
      </w:r>
      <w:r w:rsidR="00FB03B0" w:rsidRPr="00310D52">
        <w:rPr>
          <w:rFonts w:eastAsia="Calibri"/>
          <w:noProof/>
          <w:lang w:val="es-DO"/>
        </w:rPr>
        <w:t xml:space="preserve"> </w:t>
      </w:r>
      <w:r w:rsidRPr="00310D52">
        <w:rPr>
          <w:rFonts w:eastAsia="Calibri"/>
          <w:noProof/>
          <w:lang w:val="es-DO"/>
        </w:rPr>
        <w:t>Este servicio benefició a una población estimada de 10,263,940</w:t>
      </w:r>
      <w:r w:rsidR="00FB03B0" w:rsidRPr="00310D52">
        <w:rPr>
          <w:rFonts w:eastAsia="Calibri"/>
          <w:noProof/>
          <w:lang w:val="es-DO"/>
        </w:rPr>
        <w:t xml:space="preserve"> </w:t>
      </w:r>
      <w:r w:rsidRPr="00310D52">
        <w:rPr>
          <w:rFonts w:eastAsia="Calibri"/>
          <w:noProof/>
          <w:lang w:val="es-DO"/>
        </w:rPr>
        <w:t>habitantes, correspondiente a las provincias donde opera el 9-1-</w:t>
      </w:r>
      <w:r w:rsidR="00993F0B" w:rsidRPr="00310D52">
        <w:rPr>
          <w:rFonts w:eastAsia="Calibri"/>
          <w:noProof/>
          <w:lang w:val="es-DO"/>
        </w:rPr>
        <w:t>1.</w:t>
      </w:r>
      <w:r w:rsidR="00FB03B0" w:rsidRPr="00310D52">
        <w:rPr>
          <w:rFonts w:eastAsia="Calibri"/>
          <w:noProof/>
          <w:lang w:val="es-DO"/>
        </w:rPr>
        <w:t xml:space="preserve"> </w:t>
      </w:r>
      <w:r w:rsidR="00993F0B" w:rsidRPr="00310D52">
        <w:rPr>
          <w:rFonts w:eastAsia="Calibri"/>
          <w:noProof/>
          <w:lang w:val="es-DO"/>
        </w:rPr>
        <w:t>Los registros identificados como N/D (no disponibles) corresponden a casos sin información de georreferenciación.</w:t>
      </w:r>
      <w:bookmarkEnd w:id="14"/>
      <w:r w:rsidR="00993F0B" w:rsidRPr="00310D52">
        <w:rPr>
          <w:rFonts w:eastAsia="Calibri"/>
          <w:noProof/>
          <w:lang w:val="es-DO"/>
        </w:rPr>
        <w:t xml:space="preserve"> </w:t>
      </w:r>
      <w:r w:rsidR="00467EB5" w:rsidRPr="00310D52">
        <w:rPr>
          <w:rFonts w:eastAsia="Calibri"/>
          <w:noProof/>
          <w:lang w:val="es-DO"/>
        </w:rPr>
        <w:t xml:space="preserve">A </w:t>
      </w:r>
      <w:r w:rsidRPr="00310D52">
        <w:rPr>
          <w:rFonts w:eastAsia="Calibri"/>
          <w:noProof/>
          <w:lang w:val="es-DO"/>
        </w:rPr>
        <w:t>continuación</w:t>
      </w:r>
      <w:r w:rsidR="00993F0B" w:rsidRPr="00310D52">
        <w:rPr>
          <w:rFonts w:eastAsia="Calibri"/>
          <w:noProof/>
          <w:lang w:val="es-DO"/>
        </w:rPr>
        <w:t xml:space="preserve"> </w:t>
      </w:r>
      <w:r w:rsidRPr="00310D52">
        <w:rPr>
          <w:rFonts w:eastAsia="Calibri"/>
          <w:noProof/>
          <w:lang w:val="es-DO"/>
        </w:rPr>
        <w:t>se presentan las asistencias desagregadas por región:</w:t>
      </w:r>
    </w:p>
    <w:tbl>
      <w:tblPr>
        <w:tblW w:w="5620" w:type="dxa"/>
        <w:tblLook w:val="04A0" w:firstRow="1" w:lastRow="0" w:firstColumn="1" w:lastColumn="0" w:noHBand="0" w:noVBand="1"/>
      </w:tblPr>
      <w:tblGrid>
        <w:gridCol w:w="2080"/>
        <w:gridCol w:w="2020"/>
        <w:gridCol w:w="1520"/>
      </w:tblGrid>
      <w:tr w:rsidR="00310D52" w:rsidRPr="00D0435C" w14:paraId="1B09E612" w14:textId="77777777" w:rsidTr="0066103B">
        <w:trPr>
          <w:trHeight w:val="315"/>
        </w:trPr>
        <w:tc>
          <w:tcPr>
            <w:tcW w:w="2080" w:type="dxa"/>
            <w:tcBorders>
              <w:top w:val="single" w:sz="4" w:space="0" w:color="auto"/>
              <w:left w:val="single" w:sz="4" w:space="0" w:color="auto"/>
              <w:bottom w:val="single" w:sz="4" w:space="0" w:color="auto"/>
              <w:right w:val="single" w:sz="4" w:space="0" w:color="auto"/>
            </w:tcBorders>
            <w:shd w:val="clear" w:color="000000" w:fill="011C50"/>
            <w:vAlign w:val="center"/>
            <w:hideMark/>
          </w:tcPr>
          <w:p w14:paraId="26AFE81F"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Región</w:t>
            </w:r>
          </w:p>
        </w:tc>
        <w:tc>
          <w:tcPr>
            <w:tcW w:w="2020" w:type="dxa"/>
            <w:tcBorders>
              <w:top w:val="single" w:sz="4" w:space="0" w:color="auto"/>
              <w:left w:val="nil"/>
              <w:bottom w:val="single" w:sz="4" w:space="0" w:color="auto"/>
              <w:right w:val="single" w:sz="4" w:space="0" w:color="auto"/>
            </w:tcBorders>
            <w:shd w:val="clear" w:color="000000" w:fill="011C50"/>
            <w:vAlign w:val="center"/>
            <w:hideMark/>
          </w:tcPr>
          <w:p w14:paraId="4568C740"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Asistencias</w:t>
            </w:r>
          </w:p>
        </w:tc>
        <w:tc>
          <w:tcPr>
            <w:tcW w:w="1520" w:type="dxa"/>
            <w:tcBorders>
              <w:top w:val="single" w:sz="4" w:space="0" w:color="auto"/>
              <w:left w:val="nil"/>
              <w:bottom w:val="single" w:sz="4" w:space="0" w:color="auto"/>
              <w:right w:val="single" w:sz="4" w:space="0" w:color="auto"/>
            </w:tcBorders>
            <w:shd w:val="clear" w:color="000000" w:fill="011C50"/>
            <w:vAlign w:val="center"/>
            <w:hideMark/>
          </w:tcPr>
          <w:p w14:paraId="5FB0C1DB"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Traslados</w:t>
            </w:r>
          </w:p>
        </w:tc>
      </w:tr>
      <w:tr w:rsidR="00310D52" w:rsidRPr="00D0435C" w14:paraId="337F1A18"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65CC0F83"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Ozama</w:t>
            </w:r>
          </w:p>
        </w:tc>
        <w:tc>
          <w:tcPr>
            <w:tcW w:w="2020" w:type="dxa"/>
            <w:tcBorders>
              <w:top w:val="nil"/>
              <w:left w:val="nil"/>
              <w:bottom w:val="single" w:sz="4" w:space="0" w:color="auto"/>
              <w:right w:val="single" w:sz="4" w:space="0" w:color="auto"/>
            </w:tcBorders>
            <w:vAlign w:val="center"/>
            <w:hideMark/>
          </w:tcPr>
          <w:p w14:paraId="607BFFA9"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214,644</w:t>
            </w:r>
          </w:p>
        </w:tc>
        <w:tc>
          <w:tcPr>
            <w:tcW w:w="1520" w:type="dxa"/>
            <w:tcBorders>
              <w:top w:val="nil"/>
              <w:left w:val="nil"/>
              <w:bottom w:val="single" w:sz="4" w:space="0" w:color="auto"/>
              <w:right w:val="single" w:sz="4" w:space="0" w:color="auto"/>
            </w:tcBorders>
            <w:vAlign w:val="center"/>
            <w:hideMark/>
          </w:tcPr>
          <w:p w14:paraId="100BE5E4"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107,976</w:t>
            </w:r>
          </w:p>
        </w:tc>
      </w:tr>
      <w:tr w:rsidR="00310D52" w:rsidRPr="00D0435C" w14:paraId="65715483"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2E18E263"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Cibao Norte</w:t>
            </w:r>
          </w:p>
        </w:tc>
        <w:tc>
          <w:tcPr>
            <w:tcW w:w="2020" w:type="dxa"/>
            <w:tcBorders>
              <w:top w:val="nil"/>
              <w:left w:val="nil"/>
              <w:bottom w:val="single" w:sz="4" w:space="0" w:color="auto"/>
              <w:right w:val="single" w:sz="4" w:space="0" w:color="auto"/>
            </w:tcBorders>
            <w:vAlign w:val="center"/>
            <w:hideMark/>
          </w:tcPr>
          <w:p w14:paraId="0BB1B760"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97,820</w:t>
            </w:r>
          </w:p>
        </w:tc>
        <w:tc>
          <w:tcPr>
            <w:tcW w:w="1520" w:type="dxa"/>
            <w:tcBorders>
              <w:top w:val="nil"/>
              <w:left w:val="nil"/>
              <w:bottom w:val="single" w:sz="4" w:space="0" w:color="auto"/>
              <w:right w:val="single" w:sz="4" w:space="0" w:color="auto"/>
            </w:tcBorders>
            <w:vAlign w:val="center"/>
            <w:hideMark/>
          </w:tcPr>
          <w:p w14:paraId="3BD49553"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49,500</w:t>
            </w:r>
          </w:p>
        </w:tc>
      </w:tr>
      <w:tr w:rsidR="00310D52" w:rsidRPr="00D0435C" w14:paraId="7E3C775D"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47C40ABE"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Cibao Sur</w:t>
            </w:r>
          </w:p>
        </w:tc>
        <w:tc>
          <w:tcPr>
            <w:tcW w:w="2020" w:type="dxa"/>
            <w:tcBorders>
              <w:top w:val="nil"/>
              <w:left w:val="nil"/>
              <w:bottom w:val="single" w:sz="4" w:space="0" w:color="auto"/>
              <w:right w:val="single" w:sz="4" w:space="0" w:color="auto"/>
            </w:tcBorders>
            <w:vAlign w:val="center"/>
            <w:hideMark/>
          </w:tcPr>
          <w:p w14:paraId="46DCFD1B"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36,975</w:t>
            </w:r>
          </w:p>
        </w:tc>
        <w:tc>
          <w:tcPr>
            <w:tcW w:w="1520" w:type="dxa"/>
            <w:tcBorders>
              <w:top w:val="nil"/>
              <w:left w:val="nil"/>
              <w:bottom w:val="single" w:sz="4" w:space="0" w:color="auto"/>
              <w:right w:val="single" w:sz="4" w:space="0" w:color="auto"/>
            </w:tcBorders>
            <w:vAlign w:val="center"/>
            <w:hideMark/>
          </w:tcPr>
          <w:p w14:paraId="26E6C5BC"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23,370</w:t>
            </w:r>
          </w:p>
        </w:tc>
      </w:tr>
      <w:tr w:rsidR="00310D52" w:rsidRPr="00D0435C" w14:paraId="30A5C68C"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70BC2238"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Cibao Nordeste</w:t>
            </w:r>
          </w:p>
        </w:tc>
        <w:tc>
          <w:tcPr>
            <w:tcW w:w="2020" w:type="dxa"/>
            <w:tcBorders>
              <w:top w:val="nil"/>
              <w:left w:val="nil"/>
              <w:bottom w:val="single" w:sz="4" w:space="0" w:color="auto"/>
              <w:right w:val="single" w:sz="4" w:space="0" w:color="auto"/>
            </w:tcBorders>
            <w:vAlign w:val="center"/>
            <w:hideMark/>
          </w:tcPr>
          <w:p w14:paraId="7C79ACDC"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34,085</w:t>
            </w:r>
          </w:p>
        </w:tc>
        <w:tc>
          <w:tcPr>
            <w:tcW w:w="1520" w:type="dxa"/>
            <w:tcBorders>
              <w:top w:val="nil"/>
              <w:left w:val="nil"/>
              <w:bottom w:val="single" w:sz="4" w:space="0" w:color="auto"/>
              <w:right w:val="single" w:sz="4" w:space="0" w:color="auto"/>
            </w:tcBorders>
            <w:vAlign w:val="center"/>
            <w:hideMark/>
          </w:tcPr>
          <w:p w14:paraId="62E97120"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23,159</w:t>
            </w:r>
          </w:p>
        </w:tc>
      </w:tr>
      <w:tr w:rsidR="00310D52" w:rsidRPr="00D0435C" w14:paraId="252A59BE"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62BEAE3E"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Cibao Noroeste</w:t>
            </w:r>
          </w:p>
        </w:tc>
        <w:tc>
          <w:tcPr>
            <w:tcW w:w="2020" w:type="dxa"/>
            <w:tcBorders>
              <w:top w:val="nil"/>
              <w:left w:val="nil"/>
              <w:bottom w:val="single" w:sz="4" w:space="0" w:color="auto"/>
              <w:right w:val="single" w:sz="4" w:space="0" w:color="auto"/>
            </w:tcBorders>
            <w:vAlign w:val="center"/>
            <w:hideMark/>
          </w:tcPr>
          <w:p w14:paraId="482F6201"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8,403</w:t>
            </w:r>
          </w:p>
        </w:tc>
        <w:tc>
          <w:tcPr>
            <w:tcW w:w="1520" w:type="dxa"/>
            <w:tcBorders>
              <w:top w:val="nil"/>
              <w:left w:val="nil"/>
              <w:bottom w:val="single" w:sz="4" w:space="0" w:color="auto"/>
              <w:right w:val="single" w:sz="4" w:space="0" w:color="auto"/>
            </w:tcBorders>
            <w:vAlign w:val="center"/>
            <w:hideMark/>
          </w:tcPr>
          <w:p w14:paraId="5CCFA644"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5,635</w:t>
            </w:r>
          </w:p>
        </w:tc>
      </w:tr>
      <w:tr w:rsidR="00310D52" w:rsidRPr="00D0435C" w14:paraId="4A73FB15"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64C19C19"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Valdesia</w:t>
            </w:r>
          </w:p>
        </w:tc>
        <w:tc>
          <w:tcPr>
            <w:tcW w:w="2020" w:type="dxa"/>
            <w:tcBorders>
              <w:top w:val="nil"/>
              <w:left w:val="nil"/>
              <w:bottom w:val="single" w:sz="4" w:space="0" w:color="auto"/>
              <w:right w:val="single" w:sz="4" w:space="0" w:color="auto"/>
            </w:tcBorders>
            <w:vAlign w:val="center"/>
            <w:hideMark/>
          </w:tcPr>
          <w:p w14:paraId="728E4F42"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40,757</w:t>
            </w:r>
          </w:p>
        </w:tc>
        <w:tc>
          <w:tcPr>
            <w:tcW w:w="1520" w:type="dxa"/>
            <w:tcBorders>
              <w:top w:val="nil"/>
              <w:left w:val="nil"/>
              <w:bottom w:val="single" w:sz="4" w:space="0" w:color="auto"/>
              <w:right w:val="single" w:sz="4" w:space="0" w:color="auto"/>
            </w:tcBorders>
            <w:vAlign w:val="center"/>
            <w:hideMark/>
          </w:tcPr>
          <w:p w14:paraId="5883918F"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23,967</w:t>
            </w:r>
          </w:p>
        </w:tc>
      </w:tr>
      <w:tr w:rsidR="00310D52" w:rsidRPr="00D0435C" w14:paraId="2B83189C"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5E743031"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Enriquillo</w:t>
            </w:r>
          </w:p>
        </w:tc>
        <w:tc>
          <w:tcPr>
            <w:tcW w:w="2020" w:type="dxa"/>
            <w:tcBorders>
              <w:top w:val="nil"/>
              <w:left w:val="nil"/>
              <w:bottom w:val="single" w:sz="4" w:space="0" w:color="auto"/>
              <w:right w:val="single" w:sz="4" w:space="0" w:color="auto"/>
            </w:tcBorders>
            <w:vAlign w:val="center"/>
            <w:hideMark/>
          </w:tcPr>
          <w:p w14:paraId="2A69A04B"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11,892</w:t>
            </w:r>
          </w:p>
        </w:tc>
        <w:tc>
          <w:tcPr>
            <w:tcW w:w="1520" w:type="dxa"/>
            <w:tcBorders>
              <w:top w:val="nil"/>
              <w:left w:val="nil"/>
              <w:bottom w:val="single" w:sz="4" w:space="0" w:color="auto"/>
              <w:right w:val="single" w:sz="4" w:space="0" w:color="auto"/>
            </w:tcBorders>
            <w:vAlign w:val="center"/>
            <w:hideMark/>
          </w:tcPr>
          <w:p w14:paraId="31372494"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7,747</w:t>
            </w:r>
          </w:p>
        </w:tc>
      </w:tr>
      <w:tr w:rsidR="00310D52" w:rsidRPr="00D0435C" w14:paraId="26378E7C"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5F53E027"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El Valle</w:t>
            </w:r>
          </w:p>
        </w:tc>
        <w:tc>
          <w:tcPr>
            <w:tcW w:w="2020" w:type="dxa"/>
            <w:tcBorders>
              <w:top w:val="nil"/>
              <w:left w:val="nil"/>
              <w:bottom w:val="single" w:sz="4" w:space="0" w:color="auto"/>
              <w:right w:val="single" w:sz="4" w:space="0" w:color="auto"/>
            </w:tcBorders>
            <w:vAlign w:val="center"/>
            <w:hideMark/>
          </w:tcPr>
          <w:p w14:paraId="2FCB1CF3"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32,090</w:t>
            </w:r>
          </w:p>
        </w:tc>
        <w:tc>
          <w:tcPr>
            <w:tcW w:w="1520" w:type="dxa"/>
            <w:tcBorders>
              <w:top w:val="nil"/>
              <w:left w:val="nil"/>
              <w:bottom w:val="single" w:sz="4" w:space="0" w:color="auto"/>
              <w:right w:val="single" w:sz="4" w:space="0" w:color="auto"/>
            </w:tcBorders>
            <w:vAlign w:val="center"/>
            <w:hideMark/>
          </w:tcPr>
          <w:p w14:paraId="1E225585"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22,069</w:t>
            </w:r>
          </w:p>
        </w:tc>
      </w:tr>
      <w:tr w:rsidR="00310D52" w:rsidRPr="00D0435C" w14:paraId="7A2900FD"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3C61E33E"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Yuma</w:t>
            </w:r>
          </w:p>
        </w:tc>
        <w:tc>
          <w:tcPr>
            <w:tcW w:w="2020" w:type="dxa"/>
            <w:tcBorders>
              <w:top w:val="nil"/>
              <w:left w:val="nil"/>
              <w:bottom w:val="single" w:sz="4" w:space="0" w:color="auto"/>
              <w:right w:val="single" w:sz="4" w:space="0" w:color="auto"/>
            </w:tcBorders>
            <w:vAlign w:val="center"/>
            <w:hideMark/>
          </w:tcPr>
          <w:p w14:paraId="1257A435"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46,135</w:t>
            </w:r>
          </w:p>
        </w:tc>
        <w:tc>
          <w:tcPr>
            <w:tcW w:w="1520" w:type="dxa"/>
            <w:tcBorders>
              <w:top w:val="nil"/>
              <w:left w:val="nil"/>
              <w:bottom w:val="single" w:sz="4" w:space="0" w:color="auto"/>
              <w:right w:val="single" w:sz="4" w:space="0" w:color="auto"/>
            </w:tcBorders>
            <w:vAlign w:val="center"/>
            <w:hideMark/>
          </w:tcPr>
          <w:p w14:paraId="47434132"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27,270</w:t>
            </w:r>
          </w:p>
        </w:tc>
      </w:tr>
      <w:tr w:rsidR="00310D52" w:rsidRPr="00D0435C" w14:paraId="100B2A57"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1217E459"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Higuamo</w:t>
            </w:r>
          </w:p>
        </w:tc>
        <w:tc>
          <w:tcPr>
            <w:tcW w:w="2020" w:type="dxa"/>
            <w:tcBorders>
              <w:top w:val="nil"/>
              <w:left w:val="nil"/>
              <w:bottom w:val="single" w:sz="4" w:space="0" w:color="auto"/>
              <w:right w:val="single" w:sz="4" w:space="0" w:color="auto"/>
            </w:tcBorders>
            <w:vAlign w:val="center"/>
            <w:hideMark/>
          </w:tcPr>
          <w:p w14:paraId="399FD651"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25,057</w:t>
            </w:r>
          </w:p>
        </w:tc>
        <w:tc>
          <w:tcPr>
            <w:tcW w:w="1520" w:type="dxa"/>
            <w:tcBorders>
              <w:top w:val="nil"/>
              <w:left w:val="nil"/>
              <w:bottom w:val="single" w:sz="4" w:space="0" w:color="auto"/>
              <w:right w:val="single" w:sz="4" w:space="0" w:color="auto"/>
            </w:tcBorders>
            <w:vAlign w:val="center"/>
            <w:hideMark/>
          </w:tcPr>
          <w:p w14:paraId="43EDACCE"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15,554</w:t>
            </w:r>
          </w:p>
        </w:tc>
      </w:tr>
      <w:tr w:rsidR="00310D52" w:rsidRPr="00D0435C" w14:paraId="4D17D22A" w14:textId="77777777" w:rsidTr="0066103B">
        <w:trPr>
          <w:trHeight w:val="315"/>
        </w:trPr>
        <w:tc>
          <w:tcPr>
            <w:tcW w:w="2080" w:type="dxa"/>
            <w:tcBorders>
              <w:top w:val="nil"/>
              <w:left w:val="single" w:sz="4" w:space="0" w:color="auto"/>
              <w:bottom w:val="single" w:sz="4" w:space="0" w:color="auto"/>
              <w:right w:val="single" w:sz="4" w:space="0" w:color="auto"/>
            </w:tcBorders>
            <w:vAlign w:val="center"/>
            <w:hideMark/>
          </w:tcPr>
          <w:p w14:paraId="1763F45F"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N/D</w:t>
            </w:r>
          </w:p>
        </w:tc>
        <w:tc>
          <w:tcPr>
            <w:tcW w:w="2020" w:type="dxa"/>
            <w:tcBorders>
              <w:top w:val="nil"/>
              <w:left w:val="nil"/>
              <w:bottom w:val="single" w:sz="4" w:space="0" w:color="auto"/>
              <w:right w:val="single" w:sz="4" w:space="0" w:color="auto"/>
            </w:tcBorders>
            <w:vAlign w:val="center"/>
            <w:hideMark/>
          </w:tcPr>
          <w:p w14:paraId="70A28CCB"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80</w:t>
            </w:r>
          </w:p>
        </w:tc>
        <w:tc>
          <w:tcPr>
            <w:tcW w:w="1520" w:type="dxa"/>
            <w:tcBorders>
              <w:top w:val="nil"/>
              <w:left w:val="nil"/>
              <w:bottom w:val="single" w:sz="4" w:space="0" w:color="auto"/>
              <w:right w:val="single" w:sz="4" w:space="0" w:color="auto"/>
            </w:tcBorders>
            <w:vAlign w:val="center"/>
            <w:hideMark/>
          </w:tcPr>
          <w:p w14:paraId="27002F00" w14:textId="77777777" w:rsidR="0066103B" w:rsidRPr="0066103B" w:rsidRDefault="0066103B" w:rsidP="00D0435C">
            <w:pPr>
              <w:spacing w:after="0" w:line="360" w:lineRule="auto"/>
              <w:jc w:val="center"/>
              <w:rPr>
                <w:rFonts w:eastAsia="Times New Roman"/>
                <w:spacing w:val="0"/>
                <w:lang w:val="es-DO"/>
              </w:rPr>
            </w:pPr>
            <w:r w:rsidRPr="0066103B">
              <w:rPr>
                <w:rFonts w:eastAsia="Times New Roman"/>
                <w:spacing w:val="0"/>
                <w:lang w:val="es-DO"/>
              </w:rPr>
              <w:t>37</w:t>
            </w:r>
          </w:p>
        </w:tc>
      </w:tr>
      <w:tr w:rsidR="00310D52" w:rsidRPr="00D0435C" w14:paraId="27DBABDD" w14:textId="77777777" w:rsidTr="0066103B">
        <w:trPr>
          <w:trHeight w:val="315"/>
        </w:trPr>
        <w:tc>
          <w:tcPr>
            <w:tcW w:w="2080" w:type="dxa"/>
            <w:tcBorders>
              <w:top w:val="nil"/>
              <w:left w:val="single" w:sz="4" w:space="0" w:color="auto"/>
              <w:bottom w:val="single" w:sz="4" w:space="0" w:color="auto"/>
              <w:right w:val="single" w:sz="4" w:space="0" w:color="auto"/>
            </w:tcBorders>
            <w:shd w:val="clear" w:color="000000" w:fill="011C50"/>
            <w:vAlign w:val="center"/>
            <w:hideMark/>
          </w:tcPr>
          <w:p w14:paraId="25E673D2"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Total general</w:t>
            </w:r>
          </w:p>
        </w:tc>
        <w:tc>
          <w:tcPr>
            <w:tcW w:w="2020" w:type="dxa"/>
            <w:tcBorders>
              <w:top w:val="nil"/>
              <w:left w:val="nil"/>
              <w:bottom w:val="single" w:sz="4" w:space="0" w:color="auto"/>
              <w:right w:val="single" w:sz="4" w:space="0" w:color="auto"/>
            </w:tcBorders>
            <w:shd w:val="clear" w:color="000000" w:fill="011C50"/>
            <w:vAlign w:val="center"/>
            <w:hideMark/>
          </w:tcPr>
          <w:p w14:paraId="14F5FB9C"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547,938</w:t>
            </w:r>
          </w:p>
        </w:tc>
        <w:tc>
          <w:tcPr>
            <w:tcW w:w="1520" w:type="dxa"/>
            <w:tcBorders>
              <w:top w:val="nil"/>
              <w:left w:val="nil"/>
              <w:bottom w:val="single" w:sz="4" w:space="0" w:color="auto"/>
              <w:right w:val="single" w:sz="4" w:space="0" w:color="auto"/>
            </w:tcBorders>
            <w:shd w:val="clear" w:color="000000" w:fill="011C50"/>
            <w:vAlign w:val="center"/>
            <w:hideMark/>
          </w:tcPr>
          <w:p w14:paraId="3BC24B9D" w14:textId="77777777" w:rsidR="0066103B" w:rsidRPr="0066103B" w:rsidRDefault="0066103B" w:rsidP="00D0435C">
            <w:pPr>
              <w:spacing w:after="0" w:line="360" w:lineRule="auto"/>
              <w:jc w:val="center"/>
              <w:rPr>
                <w:rFonts w:eastAsia="Times New Roman"/>
                <w:b/>
                <w:bCs/>
                <w:color w:val="auto"/>
                <w:spacing w:val="0"/>
                <w:lang w:val="es-DO"/>
              </w:rPr>
            </w:pPr>
            <w:r w:rsidRPr="0066103B">
              <w:rPr>
                <w:rFonts w:eastAsia="Times New Roman"/>
                <w:b/>
                <w:bCs/>
                <w:color w:val="auto"/>
                <w:spacing w:val="0"/>
                <w:lang w:val="es-DO"/>
              </w:rPr>
              <w:t>306,286</w:t>
            </w:r>
          </w:p>
        </w:tc>
      </w:tr>
    </w:tbl>
    <w:p w14:paraId="77C5A982" w14:textId="12EFA76F" w:rsidR="002B5F66" w:rsidRPr="00D0435C" w:rsidRDefault="00166020" w:rsidP="00D0435C">
      <w:pPr>
        <w:spacing w:line="360" w:lineRule="auto"/>
        <w:ind w:left="90"/>
        <w:jc w:val="both"/>
        <w:rPr>
          <w:rFonts w:eastAsia="Calibri"/>
          <w:i/>
          <w:iCs/>
          <w:noProof/>
          <w:sz w:val="18"/>
          <w:szCs w:val="18"/>
          <w:lang w:val="es-DO"/>
        </w:rPr>
      </w:pPr>
      <w:r w:rsidRPr="00D0435C">
        <w:rPr>
          <w:rFonts w:eastAsia="Calibri"/>
          <w:i/>
          <w:iCs/>
          <w:noProof/>
          <w:sz w:val="18"/>
          <w:szCs w:val="18"/>
          <w:lang w:val="es-DO"/>
        </w:rPr>
        <w:t>Fuente: Tablero de Asignaciones y Traslados 9-1-1.</w:t>
      </w:r>
    </w:p>
    <w:p w14:paraId="77B47922" w14:textId="77777777" w:rsidR="00341A6A" w:rsidRPr="00310D52" w:rsidRDefault="00341A6A" w:rsidP="00FB03B0">
      <w:pPr>
        <w:spacing w:line="360" w:lineRule="auto"/>
        <w:ind w:left="90"/>
        <w:jc w:val="both"/>
        <w:rPr>
          <w:rFonts w:eastAsia="Calibri"/>
          <w:noProof/>
          <w:lang w:val="es-DO"/>
        </w:rPr>
      </w:pPr>
    </w:p>
    <w:p w14:paraId="0C88F68A" w14:textId="77777777" w:rsidR="002B61DF" w:rsidRPr="00F06D9C" w:rsidRDefault="002B61DF" w:rsidP="00781A65">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15" w:name="_Toc217050882"/>
      <w:r w:rsidRPr="00F06D9C">
        <w:rPr>
          <w:rFonts w:eastAsiaTheme="majorEastAsia"/>
          <w:b/>
          <w:spacing w:val="0"/>
          <w:szCs w:val="28"/>
          <w:lang w:val="es-DO"/>
        </w:rPr>
        <w:lastRenderedPageBreak/>
        <w:t>Atenciones Interhospitalarias</w:t>
      </w:r>
      <w:bookmarkEnd w:id="15"/>
    </w:p>
    <w:p w14:paraId="1EE3A279" w14:textId="630BD2ED" w:rsidR="005B472D" w:rsidRPr="00310D52" w:rsidRDefault="00A72627" w:rsidP="00781A65">
      <w:pPr>
        <w:spacing w:line="360" w:lineRule="auto"/>
        <w:jc w:val="both"/>
        <w:rPr>
          <w:rFonts w:eastAsia="Calibri"/>
          <w:noProof/>
          <w:lang w:val="es-DO"/>
        </w:rPr>
      </w:pPr>
      <w:r w:rsidRPr="00310D52">
        <w:rPr>
          <w:rFonts w:eastAsia="Calibri"/>
          <w:noProof/>
          <w:lang w:val="es-DO"/>
        </w:rPr>
        <w:t xml:space="preserve">Los traslados interhospitalarios constituyeron un componente esencial para garantizar la continuidad del cuidado en el sistema de atención extrahospitalaria, permitiendo la referencia oportuna de pacientes desde centros de menor capacidad resolutiva hacia establecimientos de mayor complejidad. Durante el </w:t>
      </w:r>
      <w:r w:rsidR="00FB03B0" w:rsidRPr="00310D52">
        <w:rPr>
          <w:rFonts w:eastAsia="Calibri"/>
          <w:noProof/>
          <w:lang w:val="es-DO"/>
        </w:rPr>
        <w:t>año</w:t>
      </w:r>
      <w:r w:rsidRPr="00310D52">
        <w:rPr>
          <w:rFonts w:eastAsia="Calibri"/>
          <w:noProof/>
          <w:lang w:val="es-DO"/>
        </w:rPr>
        <w:t xml:space="preserve"> se realizaron más de 65,286 traslados, incluyendo movilizaciones para la realización de estudios diagnósticos especializados y la atención de condiciones clínicas que requerían manejo avanzado, contribuyendo a la reducción de riesgos y a la mejora de los resultados en salud.</w:t>
      </w:r>
      <w:r w:rsidR="005B472D" w:rsidRPr="00310D52">
        <w:rPr>
          <w:rFonts w:eastAsia="Calibri"/>
          <w:noProof/>
          <w:lang w:val="es-DO"/>
        </w:rPr>
        <w:t xml:space="preserve"> </w:t>
      </w:r>
    </w:p>
    <w:p w14:paraId="718C48D6" w14:textId="77777777" w:rsidR="00781A65" w:rsidRPr="00310D52" w:rsidRDefault="00781A65" w:rsidP="00781A65">
      <w:pPr>
        <w:spacing w:line="360" w:lineRule="auto"/>
        <w:jc w:val="both"/>
        <w:rPr>
          <w:rFonts w:eastAsia="Calibri"/>
          <w:noProof/>
          <w:lang w:val="es-DO"/>
        </w:rPr>
      </w:pPr>
      <w:r w:rsidRPr="00310D52">
        <w:rPr>
          <w:rFonts w:eastAsia="Calibri"/>
          <w:noProof/>
          <w:lang w:val="es-DO"/>
        </w:rPr>
        <w:t xml:space="preserve">Esta labor se ejecutó con un presupuesto de </w:t>
      </w:r>
      <w:bookmarkStart w:id="16" w:name="_Hlk217047500"/>
      <w:r w:rsidRPr="00310D52">
        <w:rPr>
          <w:rFonts w:eastAsia="Calibri"/>
          <w:noProof/>
          <w:lang w:val="es-DO"/>
        </w:rPr>
        <w:t>RD$575,898,274.73</w:t>
      </w:r>
      <w:bookmarkEnd w:id="16"/>
      <w:r w:rsidRPr="00310D52">
        <w:rPr>
          <w:rFonts w:eastAsia="Calibri"/>
          <w:noProof/>
          <w:lang w:val="es-DO"/>
        </w:rPr>
        <w:t xml:space="preserve">, beneficiando a 10,760,028 habitantes en las 32 provincias del país. Asimismo, se brindó cobertura a 43 cruceros en Cabo Rojo, Pedernales, entre enero y diciembre de 2025, con 168,970 turistas, de los cuales 76 recibieron asistencia de emergencias. </w:t>
      </w:r>
    </w:p>
    <w:p w14:paraId="4EAECD16" w14:textId="369E4A11" w:rsidR="00654164" w:rsidRPr="00310D52" w:rsidRDefault="00781A65" w:rsidP="00781A65">
      <w:pPr>
        <w:spacing w:line="360" w:lineRule="auto"/>
        <w:jc w:val="both"/>
        <w:rPr>
          <w:rFonts w:eastAsia="Calibri"/>
          <w:noProof/>
          <w:lang w:val="es-DO"/>
        </w:rPr>
      </w:pPr>
      <w:r w:rsidRPr="00310D52">
        <w:rPr>
          <w:rFonts w:eastAsia="Calibri"/>
          <w:noProof/>
          <w:lang w:val="es-DO"/>
        </w:rPr>
        <w:t>A continuación, se presentan las asistencias por región:</w:t>
      </w:r>
    </w:p>
    <w:tbl>
      <w:tblPr>
        <w:tblW w:w="5243" w:type="dxa"/>
        <w:tblLook w:val="04A0" w:firstRow="1" w:lastRow="0" w:firstColumn="1" w:lastColumn="0" w:noHBand="0" w:noVBand="1"/>
      </w:tblPr>
      <w:tblGrid>
        <w:gridCol w:w="2458"/>
        <w:gridCol w:w="2785"/>
      </w:tblGrid>
      <w:tr w:rsidR="00310D52" w:rsidRPr="00FB03B0" w14:paraId="3901C4B7" w14:textId="77777777" w:rsidTr="005B1419">
        <w:trPr>
          <w:trHeight w:val="64"/>
        </w:trPr>
        <w:tc>
          <w:tcPr>
            <w:tcW w:w="2458" w:type="dxa"/>
            <w:tcBorders>
              <w:top w:val="single" w:sz="4" w:space="0" w:color="auto"/>
              <w:left w:val="single" w:sz="4" w:space="0" w:color="auto"/>
              <w:bottom w:val="single" w:sz="4" w:space="0" w:color="auto"/>
              <w:right w:val="single" w:sz="4" w:space="0" w:color="auto"/>
            </w:tcBorders>
            <w:shd w:val="clear" w:color="000000" w:fill="142F62"/>
            <w:vAlign w:val="center"/>
            <w:hideMark/>
          </w:tcPr>
          <w:p w14:paraId="21CB44B5" w14:textId="77777777" w:rsidR="00FB03B0" w:rsidRPr="00FB03B0" w:rsidRDefault="00FB03B0" w:rsidP="00781A65">
            <w:pPr>
              <w:spacing w:after="0" w:line="360" w:lineRule="auto"/>
              <w:jc w:val="center"/>
              <w:rPr>
                <w:rFonts w:eastAsia="Times New Roman"/>
                <w:b/>
                <w:bCs/>
                <w:color w:val="auto"/>
                <w:spacing w:val="0"/>
                <w:lang w:val="es-DO"/>
              </w:rPr>
            </w:pPr>
            <w:r w:rsidRPr="00FB03B0">
              <w:rPr>
                <w:rFonts w:eastAsia="Times New Roman"/>
                <w:b/>
                <w:bCs/>
                <w:color w:val="auto"/>
                <w:spacing w:val="0"/>
                <w:lang w:val="es-DO"/>
              </w:rPr>
              <w:t>Región</w:t>
            </w:r>
          </w:p>
        </w:tc>
        <w:tc>
          <w:tcPr>
            <w:tcW w:w="2785" w:type="dxa"/>
            <w:tcBorders>
              <w:top w:val="single" w:sz="4" w:space="0" w:color="auto"/>
              <w:left w:val="nil"/>
              <w:bottom w:val="single" w:sz="4" w:space="0" w:color="auto"/>
              <w:right w:val="single" w:sz="4" w:space="0" w:color="auto"/>
            </w:tcBorders>
            <w:shd w:val="clear" w:color="000000" w:fill="142F62"/>
            <w:vAlign w:val="center"/>
            <w:hideMark/>
          </w:tcPr>
          <w:p w14:paraId="0E179026" w14:textId="77777777" w:rsidR="00FB03B0" w:rsidRPr="00FB03B0" w:rsidRDefault="00FB03B0" w:rsidP="00781A65">
            <w:pPr>
              <w:spacing w:after="0" w:line="360" w:lineRule="auto"/>
              <w:jc w:val="center"/>
              <w:rPr>
                <w:rFonts w:eastAsia="Times New Roman"/>
                <w:b/>
                <w:bCs/>
                <w:color w:val="auto"/>
                <w:spacing w:val="0"/>
                <w:lang w:val="es-DO"/>
              </w:rPr>
            </w:pPr>
            <w:r w:rsidRPr="00FB03B0">
              <w:rPr>
                <w:rFonts w:eastAsia="Times New Roman"/>
                <w:b/>
                <w:bCs/>
                <w:color w:val="auto"/>
                <w:spacing w:val="0"/>
                <w:lang w:val="es-DO"/>
              </w:rPr>
              <w:t>Total de Traslados</w:t>
            </w:r>
          </w:p>
        </w:tc>
      </w:tr>
      <w:tr w:rsidR="00310D52" w:rsidRPr="00FB03B0" w14:paraId="3A968FC7"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13E48231"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Ozama</w:t>
            </w:r>
          </w:p>
        </w:tc>
        <w:tc>
          <w:tcPr>
            <w:tcW w:w="2785" w:type="dxa"/>
            <w:tcBorders>
              <w:top w:val="nil"/>
              <w:left w:val="nil"/>
              <w:bottom w:val="single" w:sz="4" w:space="0" w:color="auto"/>
              <w:right w:val="single" w:sz="4" w:space="0" w:color="auto"/>
            </w:tcBorders>
            <w:vAlign w:val="center"/>
            <w:hideMark/>
          </w:tcPr>
          <w:p w14:paraId="40633FE2"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19,344</w:t>
            </w:r>
          </w:p>
        </w:tc>
      </w:tr>
      <w:tr w:rsidR="00310D52" w:rsidRPr="00FB03B0" w14:paraId="3962DC18"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3D16947E"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Cibao Norte</w:t>
            </w:r>
          </w:p>
        </w:tc>
        <w:tc>
          <w:tcPr>
            <w:tcW w:w="2785" w:type="dxa"/>
            <w:tcBorders>
              <w:top w:val="nil"/>
              <w:left w:val="nil"/>
              <w:bottom w:val="single" w:sz="4" w:space="0" w:color="auto"/>
              <w:right w:val="single" w:sz="4" w:space="0" w:color="auto"/>
            </w:tcBorders>
            <w:vAlign w:val="center"/>
            <w:hideMark/>
          </w:tcPr>
          <w:p w14:paraId="264B7F64"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9,754</w:t>
            </w:r>
          </w:p>
        </w:tc>
      </w:tr>
      <w:tr w:rsidR="00310D52" w:rsidRPr="00FB03B0" w14:paraId="2A8D22C5"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20A26A79"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Cibao Sur</w:t>
            </w:r>
          </w:p>
        </w:tc>
        <w:tc>
          <w:tcPr>
            <w:tcW w:w="2785" w:type="dxa"/>
            <w:tcBorders>
              <w:top w:val="nil"/>
              <w:left w:val="nil"/>
              <w:bottom w:val="single" w:sz="4" w:space="0" w:color="auto"/>
              <w:right w:val="single" w:sz="4" w:space="0" w:color="auto"/>
            </w:tcBorders>
            <w:vAlign w:val="center"/>
            <w:hideMark/>
          </w:tcPr>
          <w:p w14:paraId="11DB7110"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4,079</w:t>
            </w:r>
          </w:p>
        </w:tc>
      </w:tr>
      <w:tr w:rsidR="00310D52" w:rsidRPr="00FB03B0" w14:paraId="5CD41184" w14:textId="77777777" w:rsidTr="00225C91">
        <w:trPr>
          <w:trHeight w:val="125"/>
        </w:trPr>
        <w:tc>
          <w:tcPr>
            <w:tcW w:w="2458" w:type="dxa"/>
            <w:tcBorders>
              <w:top w:val="nil"/>
              <w:left w:val="single" w:sz="4" w:space="0" w:color="auto"/>
              <w:bottom w:val="single" w:sz="4" w:space="0" w:color="auto"/>
              <w:right w:val="single" w:sz="4" w:space="0" w:color="auto"/>
            </w:tcBorders>
            <w:vAlign w:val="center"/>
            <w:hideMark/>
          </w:tcPr>
          <w:p w14:paraId="037B9CA3"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Cibao Nordeste</w:t>
            </w:r>
          </w:p>
        </w:tc>
        <w:tc>
          <w:tcPr>
            <w:tcW w:w="2785" w:type="dxa"/>
            <w:tcBorders>
              <w:top w:val="nil"/>
              <w:left w:val="nil"/>
              <w:bottom w:val="single" w:sz="4" w:space="0" w:color="auto"/>
              <w:right w:val="single" w:sz="4" w:space="0" w:color="auto"/>
            </w:tcBorders>
            <w:vAlign w:val="center"/>
            <w:hideMark/>
          </w:tcPr>
          <w:p w14:paraId="3834CE1D"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5,086</w:t>
            </w:r>
          </w:p>
        </w:tc>
      </w:tr>
      <w:tr w:rsidR="00310D52" w:rsidRPr="00FB03B0" w14:paraId="465A9E36"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4EB0CCC5"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Cibao Noroeste</w:t>
            </w:r>
          </w:p>
        </w:tc>
        <w:tc>
          <w:tcPr>
            <w:tcW w:w="2785" w:type="dxa"/>
            <w:tcBorders>
              <w:top w:val="nil"/>
              <w:left w:val="nil"/>
              <w:bottom w:val="single" w:sz="4" w:space="0" w:color="auto"/>
              <w:right w:val="single" w:sz="4" w:space="0" w:color="auto"/>
            </w:tcBorders>
            <w:vAlign w:val="center"/>
            <w:hideMark/>
          </w:tcPr>
          <w:p w14:paraId="6FAC76E8"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6,315</w:t>
            </w:r>
          </w:p>
        </w:tc>
      </w:tr>
      <w:tr w:rsidR="00310D52" w:rsidRPr="00FB03B0" w14:paraId="61A6403E"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1D74683E"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Valdesia</w:t>
            </w:r>
          </w:p>
        </w:tc>
        <w:tc>
          <w:tcPr>
            <w:tcW w:w="2785" w:type="dxa"/>
            <w:tcBorders>
              <w:top w:val="nil"/>
              <w:left w:val="nil"/>
              <w:bottom w:val="single" w:sz="4" w:space="0" w:color="auto"/>
              <w:right w:val="single" w:sz="4" w:space="0" w:color="auto"/>
            </w:tcBorders>
            <w:vAlign w:val="center"/>
            <w:hideMark/>
          </w:tcPr>
          <w:p w14:paraId="15CFD836"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5,228</w:t>
            </w:r>
          </w:p>
        </w:tc>
      </w:tr>
      <w:tr w:rsidR="00310D52" w:rsidRPr="00FB03B0" w14:paraId="124B635E"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41FB864E"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Enriquillo</w:t>
            </w:r>
          </w:p>
        </w:tc>
        <w:tc>
          <w:tcPr>
            <w:tcW w:w="2785" w:type="dxa"/>
            <w:tcBorders>
              <w:top w:val="nil"/>
              <w:left w:val="nil"/>
              <w:bottom w:val="single" w:sz="4" w:space="0" w:color="auto"/>
              <w:right w:val="single" w:sz="4" w:space="0" w:color="auto"/>
            </w:tcBorders>
            <w:vAlign w:val="center"/>
            <w:hideMark/>
          </w:tcPr>
          <w:p w14:paraId="695C3ADF"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3,231</w:t>
            </w:r>
          </w:p>
        </w:tc>
      </w:tr>
      <w:tr w:rsidR="00310D52" w:rsidRPr="00FB03B0" w14:paraId="01F68FB9"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712FC544"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El Valle</w:t>
            </w:r>
          </w:p>
        </w:tc>
        <w:tc>
          <w:tcPr>
            <w:tcW w:w="2785" w:type="dxa"/>
            <w:tcBorders>
              <w:top w:val="nil"/>
              <w:left w:val="nil"/>
              <w:bottom w:val="single" w:sz="4" w:space="0" w:color="auto"/>
              <w:right w:val="single" w:sz="4" w:space="0" w:color="auto"/>
            </w:tcBorders>
            <w:vAlign w:val="center"/>
            <w:hideMark/>
          </w:tcPr>
          <w:p w14:paraId="50AFC3C7"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3,875</w:t>
            </w:r>
          </w:p>
        </w:tc>
      </w:tr>
      <w:tr w:rsidR="00310D52" w:rsidRPr="00FB03B0" w14:paraId="4D8B1455" w14:textId="77777777" w:rsidTr="005B1419">
        <w:trPr>
          <w:trHeight w:val="289"/>
        </w:trPr>
        <w:tc>
          <w:tcPr>
            <w:tcW w:w="2458" w:type="dxa"/>
            <w:tcBorders>
              <w:top w:val="nil"/>
              <w:left w:val="single" w:sz="4" w:space="0" w:color="auto"/>
              <w:bottom w:val="single" w:sz="4" w:space="0" w:color="auto"/>
              <w:right w:val="single" w:sz="4" w:space="0" w:color="auto"/>
            </w:tcBorders>
            <w:vAlign w:val="center"/>
            <w:hideMark/>
          </w:tcPr>
          <w:p w14:paraId="6AF46B4B"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Yuma</w:t>
            </w:r>
          </w:p>
        </w:tc>
        <w:tc>
          <w:tcPr>
            <w:tcW w:w="2785" w:type="dxa"/>
            <w:tcBorders>
              <w:top w:val="nil"/>
              <w:left w:val="nil"/>
              <w:bottom w:val="single" w:sz="4" w:space="0" w:color="auto"/>
              <w:right w:val="single" w:sz="4" w:space="0" w:color="auto"/>
            </w:tcBorders>
            <w:vAlign w:val="center"/>
            <w:hideMark/>
          </w:tcPr>
          <w:p w14:paraId="3DC51A34"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5,096</w:t>
            </w:r>
          </w:p>
        </w:tc>
      </w:tr>
      <w:tr w:rsidR="00310D52" w:rsidRPr="00FB03B0" w14:paraId="1A3DBED7" w14:textId="77777777" w:rsidTr="005B1419">
        <w:trPr>
          <w:trHeight w:val="64"/>
        </w:trPr>
        <w:tc>
          <w:tcPr>
            <w:tcW w:w="2458" w:type="dxa"/>
            <w:tcBorders>
              <w:top w:val="nil"/>
              <w:left w:val="single" w:sz="4" w:space="0" w:color="auto"/>
              <w:bottom w:val="single" w:sz="4" w:space="0" w:color="auto"/>
              <w:right w:val="single" w:sz="4" w:space="0" w:color="auto"/>
            </w:tcBorders>
            <w:vAlign w:val="center"/>
            <w:hideMark/>
          </w:tcPr>
          <w:p w14:paraId="6B97D9BE"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Higuamo</w:t>
            </w:r>
          </w:p>
        </w:tc>
        <w:tc>
          <w:tcPr>
            <w:tcW w:w="2785" w:type="dxa"/>
            <w:tcBorders>
              <w:top w:val="nil"/>
              <w:left w:val="nil"/>
              <w:bottom w:val="single" w:sz="4" w:space="0" w:color="auto"/>
              <w:right w:val="single" w:sz="4" w:space="0" w:color="auto"/>
            </w:tcBorders>
            <w:vAlign w:val="center"/>
            <w:hideMark/>
          </w:tcPr>
          <w:p w14:paraId="3B893833" w14:textId="77777777" w:rsidR="00FB03B0" w:rsidRPr="00FB03B0" w:rsidRDefault="00FB03B0" w:rsidP="00781A65">
            <w:pPr>
              <w:spacing w:after="0" w:line="360" w:lineRule="auto"/>
              <w:jc w:val="center"/>
              <w:rPr>
                <w:rFonts w:eastAsia="Times New Roman"/>
                <w:spacing w:val="0"/>
                <w:lang w:val="es-DO"/>
              </w:rPr>
            </w:pPr>
            <w:r w:rsidRPr="00FB03B0">
              <w:rPr>
                <w:rFonts w:eastAsia="Times New Roman"/>
                <w:spacing w:val="0"/>
                <w:lang w:val="es-DO"/>
              </w:rPr>
              <w:t>3,278</w:t>
            </w:r>
          </w:p>
        </w:tc>
      </w:tr>
      <w:tr w:rsidR="00310D52" w:rsidRPr="00FB03B0" w14:paraId="34BB7BC5" w14:textId="77777777" w:rsidTr="005B1419">
        <w:trPr>
          <w:trHeight w:val="64"/>
        </w:trPr>
        <w:tc>
          <w:tcPr>
            <w:tcW w:w="2458" w:type="dxa"/>
            <w:tcBorders>
              <w:top w:val="nil"/>
              <w:left w:val="single" w:sz="4" w:space="0" w:color="auto"/>
              <w:bottom w:val="single" w:sz="4" w:space="0" w:color="auto"/>
              <w:right w:val="single" w:sz="4" w:space="0" w:color="auto"/>
            </w:tcBorders>
            <w:shd w:val="clear" w:color="000000" w:fill="142F62"/>
            <w:vAlign w:val="center"/>
            <w:hideMark/>
          </w:tcPr>
          <w:p w14:paraId="4DCF0E6E" w14:textId="77777777" w:rsidR="00FB03B0" w:rsidRPr="00FB03B0" w:rsidRDefault="00FB03B0" w:rsidP="00781A65">
            <w:pPr>
              <w:spacing w:after="0" w:line="360" w:lineRule="auto"/>
              <w:jc w:val="center"/>
              <w:rPr>
                <w:rFonts w:eastAsia="Times New Roman"/>
                <w:b/>
                <w:bCs/>
                <w:color w:val="auto"/>
                <w:spacing w:val="0"/>
                <w:lang w:val="es-DO"/>
              </w:rPr>
            </w:pPr>
            <w:r w:rsidRPr="00FB03B0">
              <w:rPr>
                <w:rFonts w:eastAsia="Times New Roman"/>
                <w:b/>
                <w:bCs/>
                <w:color w:val="auto"/>
                <w:spacing w:val="0"/>
                <w:lang w:val="es-DO"/>
              </w:rPr>
              <w:t>Total general</w:t>
            </w:r>
          </w:p>
        </w:tc>
        <w:tc>
          <w:tcPr>
            <w:tcW w:w="2785" w:type="dxa"/>
            <w:tcBorders>
              <w:top w:val="nil"/>
              <w:left w:val="nil"/>
              <w:bottom w:val="single" w:sz="4" w:space="0" w:color="auto"/>
              <w:right w:val="single" w:sz="4" w:space="0" w:color="auto"/>
            </w:tcBorders>
            <w:shd w:val="clear" w:color="000000" w:fill="142F62"/>
            <w:vAlign w:val="center"/>
            <w:hideMark/>
          </w:tcPr>
          <w:p w14:paraId="1B696103" w14:textId="77777777" w:rsidR="00FB03B0" w:rsidRPr="00FB03B0" w:rsidRDefault="00FB03B0" w:rsidP="00781A65">
            <w:pPr>
              <w:spacing w:after="0" w:line="360" w:lineRule="auto"/>
              <w:jc w:val="center"/>
              <w:rPr>
                <w:rFonts w:eastAsia="Times New Roman"/>
                <w:b/>
                <w:bCs/>
                <w:color w:val="auto"/>
                <w:spacing w:val="0"/>
                <w:lang w:val="es-DO"/>
              </w:rPr>
            </w:pPr>
            <w:r w:rsidRPr="00FB03B0">
              <w:rPr>
                <w:rFonts w:eastAsia="Times New Roman"/>
                <w:b/>
                <w:bCs/>
                <w:color w:val="auto"/>
                <w:spacing w:val="0"/>
                <w:lang w:val="es-DO"/>
              </w:rPr>
              <w:t>65,286</w:t>
            </w:r>
          </w:p>
        </w:tc>
      </w:tr>
    </w:tbl>
    <w:p w14:paraId="5EEE8CC9" w14:textId="2DE1A260" w:rsidR="00A72627" w:rsidRPr="00310D52" w:rsidRDefault="00665893" w:rsidP="00781A65">
      <w:pPr>
        <w:spacing w:line="360" w:lineRule="auto"/>
        <w:jc w:val="both"/>
        <w:rPr>
          <w:rFonts w:eastAsia="Calibri"/>
          <w:i/>
          <w:iCs/>
          <w:noProof/>
          <w:sz w:val="18"/>
          <w:szCs w:val="18"/>
          <w:lang w:val="es-DO"/>
        </w:rPr>
      </w:pPr>
      <w:r w:rsidRPr="00310D52">
        <w:rPr>
          <w:rFonts w:eastAsia="Calibri"/>
          <w:i/>
          <w:iCs/>
          <w:noProof/>
          <w:sz w:val="18"/>
          <w:szCs w:val="18"/>
          <w:lang w:val="es-DO"/>
        </w:rPr>
        <w:t>Fuente: Departamento de Gestión Extrahospitalari</w:t>
      </w:r>
      <w:r w:rsidR="00A72627" w:rsidRPr="00310D52">
        <w:rPr>
          <w:rFonts w:eastAsia="Calibri"/>
          <w:i/>
          <w:iCs/>
          <w:noProof/>
          <w:sz w:val="18"/>
          <w:szCs w:val="18"/>
          <w:lang w:val="es-DO"/>
        </w:rPr>
        <w:t>a</w:t>
      </w:r>
    </w:p>
    <w:p w14:paraId="6C46B100" w14:textId="5F4EB758" w:rsidR="002B61DF" w:rsidRPr="00F06D9C" w:rsidRDefault="002B61DF" w:rsidP="00434602">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17" w:name="_Toc217050883"/>
      <w:r w:rsidRPr="00F06D9C">
        <w:rPr>
          <w:rFonts w:eastAsiaTheme="majorEastAsia"/>
          <w:b/>
          <w:spacing w:val="0"/>
          <w:szCs w:val="28"/>
          <w:lang w:val="es-DO"/>
        </w:rPr>
        <w:lastRenderedPageBreak/>
        <w:t>Aumento de la Capacidad de Respuesta</w:t>
      </w:r>
      <w:bookmarkEnd w:id="17"/>
    </w:p>
    <w:p w14:paraId="33F5E205" w14:textId="65346EA8" w:rsidR="00225C91" w:rsidRPr="00310D52" w:rsidRDefault="0046718F" w:rsidP="00434602">
      <w:pPr>
        <w:spacing w:line="360" w:lineRule="auto"/>
        <w:jc w:val="both"/>
        <w:rPr>
          <w:rFonts w:eastAsia="Calibri"/>
          <w:noProof/>
          <w:lang w:val="es-DO"/>
        </w:rPr>
      </w:pPr>
      <w:r w:rsidRPr="00310D52">
        <w:rPr>
          <w:rFonts w:eastAsia="Calibri"/>
          <w:noProof/>
          <w:lang w:val="es-DO"/>
        </w:rPr>
        <w:t>Durante el añose integraron 235</w:t>
      </w:r>
      <w:r w:rsidR="00341A6A" w:rsidRPr="00310D52">
        <w:rPr>
          <w:rFonts w:eastAsia="Calibri"/>
          <w:noProof/>
          <w:lang w:val="es-DO"/>
        </w:rPr>
        <w:t xml:space="preserve"> </w:t>
      </w:r>
      <w:r w:rsidRPr="00310D52">
        <w:rPr>
          <w:rFonts w:eastAsia="Calibri"/>
          <w:noProof/>
          <w:lang w:val="es-DO"/>
        </w:rPr>
        <w:t>nuevas</w:t>
      </w:r>
      <w:r w:rsidR="00341A6A" w:rsidRPr="00310D52">
        <w:rPr>
          <w:rFonts w:eastAsia="Calibri"/>
          <w:noProof/>
          <w:lang w:val="es-DO"/>
        </w:rPr>
        <w:t xml:space="preserve"> </w:t>
      </w:r>
      <w:r w:rsidRPr="00310D52">
        <w:rPr>
          <w:rFonts w:eastAsia="Calibri"/>
          <w:noProof/>
          <w:lang w:val="es-DO"/>
        </w:rPr>
        <w:t>ambulancias</w:t>
      </w:r>
      <w:r w:rsidR="00341A6A" w:rsidRPr="00310D52">
        <w:rPr>
          <w:rFonts w:eastAsia="Calibri"/>
          <w:noProof/>
          <w:lang w:val="es-DO"/>
        </w:rPr>
        <w:t xml:space="preserve"> </w:t>
      </w:r>
      <w:r w:rsidRPr="00310D52">
        <w:rPr>
          <w:rFonts w:eastAsia="Calibri"/>
          <w:noProof/>
          <w:lang w:val="es-DO"/>
        </w:rPr>
        <w:t>a</w:t>
      </w:r>
      <w:r w:rsidR="00341A6A" w:rsidRPr="00310D52">
        <w:rPr>
          <w:rFonts w:eastAsia="Calibri"/>
          <w:noProof/>
          <w:lang w:val="es-DO"/>
        </w:rPr>
        <w:t xml:space="preserve"> </w:t>
      </w:r>
      <w:r w:rsidRPr="00310D52">
        <w:rPr>
          <w:rFonts w:eastAsia="Calibri"/>
          <w:noProof/>
          <w:lang w:val="es-DO"/>
        </w:rPr>
        <w:t xml:space="preserve">la flota nacional, fortaleciendo </w:t>
      </w:r>
      <w:r w:rsidR="00341A6A" w:rsidRPr="00310D52">
        <w:rPr>
          <w:rFonts w:eastAsia="Calibri"/>
          <w:noProof/>
          <w:lang w:val="es-DO"/>
        </w:rPr>
        <w:t xml:space="preserve">significativamente </w:t>
      </w:r>
      <w:r w:rsidRPr="00310D52">
        <w:rPr>
          <w:rFonts w:eastAsia="Calibri"/>
          <w:noProof/>
          <w:lang w:val="es-DO"/>
        </w:rPr>
        <w:t xml:space="preserve">la capacidad operativa de la DAEH en zonas urbanas </w:t>
      </w:r>
      <w:r w:rsidR="00341A6A" w:rsidRPr="00310D52">
        <w:rPr>
          <w:rFonts w:eastAsia="Calibri"/>
          <w:noProof/>
          <w:lang w:val="es-DO"/>
        </w:rPr>
        <w:t>y</w:t>
      </w:r>
      <w:r w:rsidRPr="00310D52">
        <w:rPr>
          <w:rFonts w:eastAsia="Calibri"/>
          <w:noProof/>
          <w:lang w:val="es-DO"/>
        </w:rPr>
        <w:t xml:space="preserve"> rurales. Con esta incorporación, la institución alcanzó un total de 850 ambulancias a nivel nacional, además de 122 Unidades de Respuesta Inmediata (URI). </w:t>
      </w:r>
    </w:p>
    <w:p w14:paraId="5A54350E" w14:textId="40DB310F" w:rsidR="0046718F" w:rsidRPr="00310D52" w:rsidRDefault="0046718F" w:rsidP="00434602">
      <w:pPr>
        <w:spacing w:line="360" w:lineRule="auto"/>
        <w:jc w:val="both"/>
        <w:rPr>
          <w:rFonts w:eastAsia="Calibri"/>
          <w:noProof/>
          <w:lang w:val="es-DO"/>
        </w:rPr>
      </w:pPr>
      <w:r w:rsidRPr="00310D52">
        <w:rPr>
          <w:rFonts w:eastAsia="Calibri"/>
          <w:noProof/>
          <w:lang w:val="es-DO"/>
        </w:rPr>
        <w:t>De forma complementaria, se sumaron 14 camionetas, 2 camiones y 1 camión grúa destinados al apoyo logístico, operativo y de mantenimiento, contribuyendo a ampliar la cobertura territorial y a mejorar la oportunidad, seguridad y eficiencia de la atención extrahospitalaria en beneficio de la población.</w:t>
      </w:r>
    </w:p>
    <w:p w14:paraId="49AEFDEF" w14:textId="6CAC0976" w:rsidR="0046718F" w:rsidRPr="00310D52" w:rsidRDefault="0046718F" w:rsidP="00434602">
      <w:pPr>
        <w:spacing w:line="360" w:lineRule="auto"/>
        <w:jc w:val="both"/>
        <w:rPr>
          <w:rFonts w:eastAsia="Calibri"/>
          <w:noProof/>
          <w:lang w:val="es-DO"/>
        </w:rPr>
      </w:pPr>
      <w:r w:rsidRPr="00310D52">
        <w:rPr>
          <w:rFonts w:eastAsia="Calibri"/>
          <w:noProof/>
          <w:lang w:val="es-DO"/>
        </w:rPr>
        <w:t>La distribución operativa de estas unidades permitió habilitar nuevas preposiciones prehospitalarias en Santo Domingo (1), San Cristóbal (2), Peravia (1), Duarte (1) y Barahona (1). Asimismo, en el componente interhospitalario se incorporaron unidades en Santo Domingo (2), La Vega (1), Monseñor Nouel (1), Sánchez Ramírez (2), San Pedro de Macorís (5), Hato Mayor (2), Monte Plata (2), La Romana (2), Puerto Plata (2), Espaillat (1), Duarte (1), Pedernales (1), Santiago Rodríguez (3) y San Cristóbal (1), reforzando de manera estratégica la red de traslados sanitarios.</w:t>
      </w:r>
    </w:p>
    <w:p w14:paraId="5DEE1DDA" w14:textId="2785FDEC" w:rsidR="0046718F" w:rsidRPr="00310D52" w:rsidRDefault="0046718F" w:rsidP="00434602">
      <w:pPr>
        <w:spacing w:line="360" w:lineRule="auto"/>
        <w:jc w:val="both"/>
        <w:rPr>
          <w:rFonts w:eastAsia="Calibri"/>
          <w:noProof/>
          <w:lang w:val="es-DO"/>
        </w:rPr>
      </w:pPr>
      <w:r w:rsidRPr="00310D52">
        <w:rPr>
          <w:rFonts w:eastAsia="Calibri"/>
          <w:noProof/>
          <w:lang w:val="es-DO"/>
        </w:rPr>
        <w:t>Estas acciones permitieron fortalecer los servicios prehospitalarios del Sistema 9-1-1, los traslados interhospitalarios y la disponibilidad de unidades de respaldo, garantizando una respuesta más equilibrada y sostenible ante escenarios de alta demanda. Como resultado, se logró incrementar la cobertura de preposiciones a nivel nacional hasta un 92.7 %, así como mejorar la disponibilidad de unidades durante los turnos de mayor demanda, impactando de forma directa la capacidad resolutiva del sistema y reforzando el acceso oportuno de la población a los servicios de atención extrahospitalaria.</w:t>
      </w:r>
    </w:p>
    <w:p w14:paraId="7189AF54" w14:textId="3128CBF0" w:rsidR="00233626" w:rsidRPr="00310D52" w:rsidRDefault="0046718F" w:rsidP="00781A65">
      <w:pPr>
        <w:spacing w:line="360" w:lineRule="auto"/>
        <w:jc w:val="both"/>
        <w:rPr>
          <w:rFonts w:eastAsiaTheme="majorEastAsia"/>
          <w:b/>
          <w:spacing w:val="0"/>
          <w:szCs w:val="28"/>
          <w:lang w:val="es-DO"/>
        </w:rPr>
      </w:pPr>
      <w:r w:rsidRPr="00310D52">
        <w:rPr>
          <w:rFonts w:eastAsiaTheme="majorEastAsia"/>
          <w:b/>
          <w:spacing w:val="0"/>
          <w:szCs w:val="28"/>
          <w:lang w:val="es-DO"/>
        </w:rPr>
        <w:lastRenderedPageBreak/>
        <w:t>Total de Unidades de Ambulancias:</w:t>
      </w:r>
    </w:p>
    <w:tbl>
      <w:tblPr>
        <w:tblW w:w="5305" w:type="dxa"/>
        <w:tblLook w:val="04A0" w:firstRow="1" w:lastRow="0" w:firstColumn="1" w:lastColumn="0" w:noHBand="0" w:noVBand="1"/>
      </w:tblPr>
      <w:tblGrid>
        <w:gridCol w:w="1885"/>
        <w:gridCol w:w="1620"/>
        <w:gridCol w:w="1800"/>
      </w:tblGrid>
      <w:tr w:rsidR="00310D52" w:rsidRPr="00781A65" w14:paraId="103AE9E6" w14:textId="77777777" w:rsidTr="00225C91">
        <w:trPr>
          <w:trHeight w:val="70"/>
        </w:trPr>
        <w:tc>
          <w:tcPr>
            <w:tcW w:w="1885" w:type="dxa"/>
            <w:tcBorders>
              <w:top w:val="single" w:sz="4" w:space="0" w:color="auto"/>
              <w:left w:val="single" w:sz="4" w:space="0" w:color="auto"/>
              <w:bottom w:val="single" w:sz="4" w:space="0" w:color="auto"/>
              <w:right w:val="nil"/>
            </w:tcBorders>
            <w:shd w:val="clear" w:color="000000" w:fill="142F62"/>
            <w:vAlign w:val="center"/>
            <w:hideMark/>
          </w:tcPr>
          <w:p w14:paraId="6F1C8E91" w14:textId="77777777" w:rsidR="00781A65" w:rsidRPr="00781A65" w:rsidRDefault="00781A65" w:rsidP="00781A65">
            <w:pPr>
              <w:spacing w:after="0" w:line="360" w:lineRule="auto"/>
              <w:jc w:val="center"/>
              <w:rPr>
                <w:rFonts w:eastAsia="Times New Roman"/>
                <w:b/>
                <w:bCs/>
                <w:color w:val="auto"/>
                <w:spacing w:val="0"/>
                <w:lang w:val="es-DO"/>
              </w:rPr>
            </w:pPr>
            <w:r w:rsidRPr="00781A65">
              <w:rPr>
                <w:rFonts w:eastAsia="Times New Roman"/>
                <w:b/>
                <w:bCs/>
                <w:color w:val="auto"/>
                <w:spacing w:val="0"/>
                <w:lang w:val="es-DO"/>
              </w:rPr>
              <w:t>Operatividad</w:t>
            </w:r>
          </w:p>
        </w:tc>
        <w:tc>
          <w:tcPr>
            <w:tcW w:w="1620" w:type="dxa"/>
            <w:tcBorders>
              <w:top w:val="single" w:sz="4" w:space="0" w:color="auto"/>
              <w:left w:val="nil"/>
              <w:bottom w:val="single" w:sz="4" w:space="0" w:color="auto"/>
              <w:right w:val="single" w:sz="4" w:space="0" w:color="auto"/>
            </w:tcBorders>
            <w:shd w:val="clear" w:color="000000" w:fill="142F62"/>
            <w:vAlign w:val="center"/>
            <w:hideMark/>
          </w:tcPr>
          <w:p w14:paraId="35963B4D" w14:textId="77777777" w:rsidR="00781A65" w:rsidRPr="00781A65" w:rsidRDefault="00781A65" w:rsidP="00781A65">
            <w:pPr>
              <w:spacing w:after="0" w:line="360" w:lineRule="auto"/>
              <w:jc w:val="center"/>
              <w:rPr>
                <w:rFonts w:eastAsia="Times New Roman"/>
                <w:b/>
                <w:bCs/>
                <w:color w:val="auto"/>
                <w:spacing w:val="0"/>
                <w:lang w:val="es-DO"/>
              </w:rPr>
            </w:pPr>
            <w:r w:rsidRPr="00781A65">
              <w:rPr>
                <w:rFonts w:eastAsia="Times New Roman"/>
                <w:b/>
                <w:bCs/>
                <w:color w:val="auto"/>
                <w:spacing w:val="0"/>
                <w:lang w:val="es-DO"/>
              </w:rPr>
              <w:t> </w:t>
            </w:r>
          </w:p>
        </w:tc>
        <w:tc>
          <w:tcPr>
            <w:tcW w:w="1800" w:type="dxa"/>
            <w:tcBorders>
              <w:top w:val="single" w:sz="4" w:space="0" w:color="auto"/>
              <w:left w:val="nil"/>
              <w:bottom w:val="single" w:sz="4" w:space="0" w:color="auto"/>
              <w:right w:val="single" w:sz="4" w:space="0" w:color="auto"/>
            </w:tcBorders>
            <w:shd w:val="clear" w:color="000000" w:fill="142F62"/>
            <w:vAlign w:val="center"/>
            <w:hideMark/>
          </w:tcPr>
          <w:p w14:paraId="5F6DBEBB" w14:textId="77777777" w:rsidR="00781A65" w:rsidRPr="00781A65" w:rsidRDefault="00781A65" w:rsidP="00781A65">
            <w:pPr>
              <w:spacing w:after="0" w:line="360" w:lineRule="auto"/>
              <w:jc w:val="center"/>
              <w:rPr>
                <w:rFonts w:eastAsia="Times New Roman"/>
                <w:b/>
                <w:bCs/>
                <w:color w:val="auto"/>
                <w:spacing w:val="0"/>
                <w:lang w:val="es-DO"/>
              </w:rPr>
            </w:pPr>
            <w:r w:rsidRPr="00781A65">
              <w:rPr>
                <w:rFonts w:eastAsia="Times New Roman"/>
                <w:b/>
                <w:bCs/>
                <w:color w:val="auto"/>
                <w:spacing w:val="0"/>
                <w:lang w:val="es-DO"/>
              </w:rPr>
              <w:t>Total de Unidades</w:t>
            </w:r>
          </w:p>
        </w:tc>
      </w:tr>
      <w:tr w:rsidR="00310D52" w:rsidRPr="00781A65" w14:paraId="2B2AD4A5" w14:textId="77777777" w:rsidTr="00781A65">
        <w:trPr>
          <w:trHeight w:val="315"/>
        </w:trPr>
        <w:tc>
          <w:tcPr>
            <w:tcW w:w="1885" w:type="dxa"/>
            <w:vMerge w:val="restart"/>
            <w:tcBorders>
              <w:top w:val="nil"/>
              <w:left w:val="single" w:sz="4" w:space="0" w:color="auto"/>
              <w:bottom w:val="single" w:sz="4" w:space="0" w:color="000000"/>
              <w:right w:val="single" w:sz="4" w:space="0" w:color="auto"/>
            </w:tcBorders>
            <w:vAlign w:val="center"/>
            <w:hideMark/>
          </w:tcPr>
          <w:p w14:paraId="3F2BC77D"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Prehospitalaria</w:t>
            </w:r>
          </w:p>
        </w:tc>
        <w:tc>
          <w:tcPr>
            <w:tcW w:w="1620" w:type="dxa"/>
            <w:tcBorders>
              <w:top w:val="nil"/>
              <w:left w:val="nil"/>
              <w:bottom w:val="single" w:sz="4" w:space="0" w:color="auto"/>
              <w:right w:val="single" w:sz="4" w:space="0" w:color="auto"/>
            </w:tcBorders>
            <w:noWrap/>
            <w:vAlign w:val="center"/>
            <w:hideMark/>
          </w:tcPr>
          <w:p w14:paraId="0D90E353"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DAEH 9-1-1</w:t>
            </w:r>
          </w:p>
        </w:tc>
        <w:tc>
          <w:tcPr>
            <w:tcW w:w="1800" w:type="dxa"/>
            <w:tcBorders>
              <w:top w:val="nil"/>
              <w:left w:val="nil"/>
              <w:bottom w:val="single" w:sz="4" w:space="0" w:color="auto"/>
              <w:right w:val="single" w:sz="4" w:space="0" w:color="auto"/>
            </w:tcBorders>
            <w:noWrap/>
            <w:vAlign w:val="center"/>
            <w:hideMark/>
          </w:tcPr>
          <w:p w14:paraId="0A6DA3A0" w14:textId="77777777" w:rsidR="00781A65" w:rsidRPr="00781A65" w:rsidRDefault="00781A65" w:rsidP="00781A65">
            <w:pPr>
              <w:spacing w:after="0" w:line="360" w:lineRule="auto"/>
              <w:jc w:val="center"/>
              <w:rPr>
                <w:rFonts w:eastAsia="Times New Roman"/>
                <w:spacing w:val="0"/>
                <w:lang w:val="es-DO"/>
              </w:rPr>
            </w:pPr>
            <w:r w:rsidRPr="00781A65">
              <w:rPr>
                <w:rFonts w:eastAsia="Times New Roman"/>
                <w:spacing w:val="0"/>
                <w:lang w:val="es-DO"/>
              </w:rPr>
              <w:t>309</w:t>
            </w:r>
          </w:p>
        </w:tc>
      </w:tr>
      <w:tr w:rsidR="00310D52" w:rsidRPr="00781A65" w14:paraId="6CBFB4D3" w14:textId="77777777" w:rsidTr="00781A65">
        <w:trPr>
          <w:trHeight w:val="315"/>
        </w:trPr>
        <w:tc>
          <w:tcPr>
            <w:tcW w:w="1885" w:type="dxa"/>
            <w:vMerge/>
            <w:tcBorders>
              <w:top w:val="nil"/>
              <w:left w:val="single" w:sz="4" w:space="0" w:color="auto"/>
              <w:bottom w:val="single" w:sz="4" w:space="0" w:color="000000"/>
              <w:right w:val="single" w:sz="4" w:space="0" w:color="auto"/>
            </w:tcBorders>
            <w:vAlign w:val="center"/>
            <w:hideMark/>
          </w:tcPr>
          <w:p w14:paraId="252C752A" w14:textId="77777777" w:rsidR="00781A65" w:rsidRPr="00781A65" w:rsidRDefault="00781A65" w:rsidP="00781A65">
            <w:pPr>
              <w:spacing w:after="0" w:line="360" w:lineRule="auto"/>
              <w:rPr>
                <w:rFonts w:eastAsia="Times New Roman"/>
                <w:spacing w:val="0"/>
                <w:lang w:val="es-DO"/>
              </w:rPr>
            </w:pPr>
          </w:p>
        </w:tc>
        <w:tc>
          <w:tcPr>
            <w:tcW w:w="1620" w:type="dxa"/>
            <w:tcBorders>
              <w:top w:val="nil"/>
              <w:left w:val="nil"/>
              <w:bottom w:val="single" w:sz="4" w:space="0" w:color="auto"/>
              <w:right w:val="single" w:sz="4" w:space="0" w:color="auto"/>
            </w:tcBorders>
            <w:noWrap/>
            <w:vAlign w:val="center"/>
            <w:hideMark/>
          </w:tcPr>
          <w:p w14:paraId="3597A114"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CRD</w:t>
            </w:r>
          </w:p>
        </w:tc>
        <w:tc>
          <w:tcPr>
            <w:tcW w:w="1800" w:type="dxa"/>
            <w:tcBorders>
              <w:top w:val="nil"/>
              <w:left w:val="nil"/>
              <w:bottom w:val="single" w:sz="4" w:space="0" w:color="auto"/>
              <w:right w:val="single" w:sz="4" w:space="0" w:color="auto"/>
            </w:tcBorders>
            <w:noWrap/>
            <w:vAlign w:val="center"/>
            <w:hideMark/>
          </w:tcPr>
          <w:p w14:paraId="150B476C" w14:textId="77777777" w:rsidR="00781A65" w:rsidRPr="00781A65" w:rsidRDefault="00781A65" w:rsidP="00781A65">
            <w:pPr>
              <w:spacing w:after="0" w:line="360" w:lineRule="auto"/>
              <w:jc w:val="center"/>
              <w:rPr>
                <w:rFonts w:eastAsia="Times New Roman"/>
                <w:spacing w:val="0"/>
                <w:lang w:val="es-DO"/>
              </w:rPr>
            </w:pPr>
            <w:r w:rsidRPr="00781A65">
              <w:rPr>
                <w:rFonts w:eastAsia="Times New Roman"/>
                <w:spacing w:val="0"/>
                <w:lang w:val="es-DO"/>
              </w:rPr>
              <w:t>143</w:t>
            </w:r>
          </w:p>
        </w:tc>
      </w:tr>
      <w:tr w:rsidR="00310D52" w:rsidRPr="00781A65" w14:paraId="0D6BB03B" w14:textId="77777777" w:rsidTr="00781A65">
        <w:trPr>
          <w:trHeight w:val="315"/>
        </w:trPr>
        <w:tc>
          <w:tcPr>
            <w:tcW w:w="1885" w:type="dxa"/>
            <w:tcBorders>
              <w:top w:val="nil"/>
              <w:left w:val="single" w:sz="4" w:space="0" w:color="auto"/>
              <w:bottom w:val="single" w:sz="4" w:space="0" w:color="auto"/>
              <w:right w:val="single" w:sz="4" w:space="0" w:color="auto"/>
            </w:tcBorders>
            <w:vAlign w:val="center"/>
            <w:hideMark/>
          </w:tcPr>
          <w:p w14:paraId="11890482"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Interhospitalaria</w:t>
            </w:r>
          </w:p>
        </w:tc>
        <w:tc>
          <w:tcPr>
            <w:tcW w:w="1620" w:type="dxa"/>
            <w:tcBorders>
              <w:top w:val="nil"/>
              <w:left w:val="nil"/>
              <w:bottom w:val="single" w:sz="4" w:space="0" w:color="auto"/>
              <w:right w:val="single" w:sz="4" w:space="0" w:color="auto"/>
            </w:tcBorders>
            <w:noWrap/>
            <w:vAlign w:val="center"/>
            <w:hideMark/>
          </w:tcPr>
          <w:p w14:paraId="507E9A76"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CRUE</w:t>
            </w:r>
          </w:p>
        </w:tc>
        <w:tc>
          <w:tcPr>
            <w:tcW w:w="1800" w:type="dxa"/>
            <w:tcBorders>
              <w:top w:val="nil"/>
              <w:left w:val="nil"/>
              <w:bottom w:val="single" w:sz="4" w:space="0" w:color="auto"/>
              <w:right w:val="single" w:sz="4" w:space="0" w:color="auto"/>
            </w:tcBorders>
            <w:noWrap/>
            <w:vAlign w:val="center"/>
            <w:hideMark/>
          </w:tcPr>
          <w:p w14:paraId="23F8734A" w14:textId="77777777" w:rsidR="00781A65" w:rsidRPr="00781A65" w:rsidRDefault="00781A65" w:rsidP="00781A65">
            <w:pPr>
              <w:spacing w:after="0" w:line="360" w:lineRule="auto"/>
              <w:jc w:val="center"/>
              <w:rPr>
                <w:rFonts w:eastAsia="Times New Roman"/>
                <w:spacing w:val="0"/>
                <w:lang w:val="es-DO"/>
              </w:rPr>
            </w:pPr>
            <w:r w:rsidRPr="00781A65">
              <w:rPr>
                <w:rFonts w:eastAsia="Times New Roman"/>
                <w:spacing w:val="0"/>
                <w:lang w:val="es-DO"/>
              </w:rPr>
              <w:t>133</w:t>
            </w:r>
          </w:p>
        </w:tc>
      </w:tr>
      <w:tr w:rsidR="00310D52" w:rsidRPr="00781A65" w14:paraId="00FF7AB6" w14:textId="77777777" w:rsidTr="00781A65">
        <w:trPr>
          <w:trHeight w:val="315"/>
        </w:trPr>
        <w:tc>
          <w:tcPr>
            <w:tcW w:w="1885" w:type="dxa"/>
            <w:tcBorders>
              <w:top w:val="nil"/>
              <w:left w:val="single" w:sz="4" w:space="0" w:color="auto"/>
              <w:bottom w:val="single" w:sz="4" w:space="0" w:color="auto"/>
              <w:right w:val="single" w:sz="4" w:space="0" w:color="auto"/>
            </w:tcBorders>
            <w:vAlign w:val="center"/>
            <w:hideMark/>
          </w:tcPr>
          <w:p w14:paraId="775492CF"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 </w:t>
            </w:r>
          </w:p>
        </w:tc>
        <w:tc>
          <w:tcPr>
            <w:tcW w:w="1620" w:type="dxa"/>
            <w:tcBorders>
              <w:top w:val="nil"/>
              <w:left w:val="nil"/>
              <w:bottom w:val="nil"/>
              <w:right w:val="nil"/>
            </w:tcBorders>
            <w:noWrap/>
            <w:vAlign w:val="center"/>
            <w:hideMark/>
          </w:tcPr>
          <w:p w14:paraId="02910511" w14:textId="77777777" w:rsidR="00781A65" w:rsidRPr="00781A65" w:rsidRDefault="00781A65" w:rsidP="00781A65">
            <w:pPr>
              <w:spacing w:after="0" w:line="360" w:lineRule="auto"/>
              <w:rPr>
                <w:rFonts w:eastAsia="Times New Roman"/>
                <w:spacing w:val="0"/>
                <w:lang w:val="es-DO"/>
              </w:rPr>
            </w:pPr>
            <w:r w:rsidRPr="00781A65">
              <w:rPr>
                <w:rFonts w:eastAsia="Times New Roman"/>
                <w:spacing w:val="0"/>
                <w:lang w:val="es-DO"/>
              </w:rPr>
              <w:t>Backup</w:t>
            </w:r>
          </w:p>
        </w:tc>
        <w:tc>
          <w:tcPr>
            <w:tcW w:w="1800" w:type="dxa"/>
            <w:tcBorders>
              <w:top w:val="nil"/>
              <w:left w:val="single" w:sz="4" w:space="0" w:color="auto"/>
              <w:bottom w:val="single" w:sz="4" w:space="0" w:color="auto"/>
              <w:right w:val="single" w:sz="4" w:space="0" w:color="auto"/>
            </w:tcBorders>
            <w:noWrap/>
            <w:vAlign w:val="center"/>
            <w:hideMark/>
          </w:tcPr>
          <w:p w14:paraId="107C0604" w14:textId="77777777" w:rsidR="00781A65" w:rsidRPr="00781A65" w:rsidRDefault="00781A65" w:rsidP="00781A65">
            <w:pPr>
              <w:spacing w:after="0" w:line="360" w:lineRule="auto"/>
              <w:jc w:val="center"/>
              <w:rPr>
                <w:rFonts w:eastAsia="Times New Roman"/>
                <w:spacing w:val="0"/>
                <w:lang w:val="es-DO"/>
              </w:rPr>
            </w:pPr>
            <w:r w:rsidRPr="00781A65">
              <w:rPr>
                <w:rFonts w:eastAsia="Times New Roman"/>
                <w:spacing w:val="0"/>
                <w:lang w:val="es-DO"/>
              </w:rPr>
              <w:t>265</w:t>
            </w:r>
          </w:p>
        </w:tc>
      </w:tr>
      <w:tr w:rsidR="00310D52" w:rsidRPr="00781A65" w14:paraId="21EAA98A" w14:textId="77777777" w:rsidTr="00781A65">
        <w:trPr>
          <w:trHeight w:val="315"/>
        </w:trPr>
        <w:tc>
          <w:tcPr>
            <w:tcW w:w="3505" w:type="dxa"/>
            <w:gridSpan w:val="2"/>
            <w:tcBorders>
              <w:top w:val="single" w:sz="4" w:space="0" w:color="auto"/>
              <w:left w:val="single" w:sz="4" w:space="0" w:color="auto"/>
              <w:bottom w:val="single" w:sz="4" w:space="0" w:color="auto"/>
              <w:right w:val="single" w:sz="4" w:space="0" w:color="000000"/>
            </w:tcBorders>
            <w:shd w:val="clear" w:color="000000" w:fill="142F62"/>
            <w:vAlign w:val="center"/>
            <w:hideMark/>
          </w:tcPr>
          <w:p w14:paraId="64134586" w14:textId="77777777" w:rsidR="00781A65" w:rsidRPr="00781A65" w:rsidRDefault="00781A65" w:rsidP="00781A65">
            <w:pPr>
              <w:spacing w:after="0" w:line="360" w:lineRule="auto"/>
              <w:jc w:val="center"/>
              <w:rPr>
                <w:rFonts w:eastAsia="Times New Roman"/>
                <w:b/>
                <w:bCs/>
                <w:color w:val="auto"/>
                <w:spacing w:val="0"/>
                <w:lang w:val="es-DO"/>
              </w:rPr>
            </w:pPr>
            <w:r w:rsidRPr="00781A65">
              <w:rPr>
                <w:rFonts w:eastAsia="Times New Roman"/>
                <w:b/>
                <w:bCs/>
                <w:color w:val="auto"/>
                <w:spacing w:val="0"/>
                <w:lang w:val="es-DO"/>
              </w:rPr>
              <w:t xml:space="preserve">Total General </w:t>
            </w:r>
          </w:p>
        </w:tc>
        <w:tc>
          <w:tcPr>
            <w:tcW w:w="1800" w:type="dxa"/>
            <w:tcBorders>
              <w:top w:val="nil"/>
              <w:left w:val="nil"/>
              <w:bottom w:val="single" w:sz="4" w:space="0" w:color="auto"/>
              <w:right w:val="single" w:sz="4" w:space="0" w:color="auto"/>
            </w:tcBorders>
            <w:shd w:val="clear" w:color="000000" w:fill="142F62"/>
            <w:noWrap/>
            <w:vAlign w:val="center"/>
            <w:hideMark/>
          </w:tcPr>
          <w:p w14:paraId="525F025E" w14:textId="77777777" w:rsidR="00781A65" w:rsidRPr="00781A65" w:rsidRDefault="00781A65" w:rsidP="00781A65">
            <w:pPr>
              <w:spacing w:after="0" w:line="360" w:lineRule="auto"/>
              <w:jc w:val="center"/>
              <w:rPr>
                <w:rFonts w:eastAsia="Times New Roman"/>
                <w:b/>
                <w:bCs/>
                <w:color w:val="auto"/>
                <w:spacing w:val="0"/>
                <w:lang w:val="es-DO"/>
              </w:rPr>
            </w:pPr>
            <w:r w:rsidRPr="00781A65">
              <w:rPr>
                <w:rFonts w:eastAsia="Times New Roman"/>
                <w:b/>
                <w:bCs/>
                <w:color w:val="auto"/>
                <w:spacing w:val="0"/>
                <w:lang w:val="es-DO"/>
              </w:rPr>
              <w:t>850</w:t>
            </w:r>
          </w:p>
        </w:tc>
      </w:tr>
    </w:tbl>
    <w:p w14:paraId="592EFBF6" w14:textId="6730AE4E" w:rsidR="00540854" w:rsidRPr="00310D52" w:rsidRDefault="00540854" w:rsidP="00781A65">
      <w:pPr>
        <w:spacing w:line="360" w:lineRule="auto"/>
        <w:jc w:val="both"/>
        <w:rPr>
          <w:rFonts w:eastAsiaTheme="majorEastAsia"/>
          <w:b/>
          <w:i/>
          <w:iCs/>
          <w:spacing w:val="0"/>
          <w:szCs w:val="28"/>
          <w:lang w:val="es-DO"/>
        </w:rPr>
      </w:pPr>
      <w:r w:rsidRPr="00310D52">
        <w:rPr>
          <w:rFonts w:eastAsia="Calibri"/>
          <w:i/>
          <w:iCs/>
          <w:noProof/>
          <w:sz w:val="18"/>
          <w:szCs w:val="18"/>
          <w:lang w:val="es-DO"/>
        </w:rPr>
        <w:t>Fuente: Departamento de Gestión Extrahospitalaria</w:t>
      </w:r>
    </w:p>
    <w:p w14:paraId="17992DC6" w14:textId="49CD0016" w:rsidR="00A72627" w:rsidRPr="00310D52" w:rsidRDefault="00A72627" w:rsidP="00434602">
      <w:pPr>
        <w:spacing w:line="360" w:lineRule="auto"/>
        <w:jc w:val="both"/>
        <w:rPr>
          <w:rFonts w:eastAsiaTheme="majorEastAsia"/>
          <w:b/>
          <w:spacing w:val="0"/>
          <w:szCs w:val="28"/>
          <w:lang w:val="es-DO"/>
        </w:rPr>
      </w:pPr>
      <w:r w:rsidRPr="00310D52">
        <w:rPr>
          <w:rFonts w:eastAsiaTheme="majorEastAsia"/>
          <w:b/>
          <w:spacing w:val="0"/>
          <w:szCs w:val="28"/>
          <w:lang w:val="es-DO"/>
        </w:rPr>
        <w:t>Tabla de Preposiciones de Unidades de Ambulancia Prehospitalarias</w:t>
      </w:r>
    </w:p>
    <w:p w14:paraId="749C7980" w14:textId="18946778" w:rsidR="00A72627" w:rsidRPr="00310D52" w:rsidRDefault="00781A65" w:rsidP="00434602">
      <w:pPr>
        <w:spacing w:after="0" w:line="360" w:lineRule="auto"/>
        <w:jc w:val="both"/>
        <w:rPr>
          <w:rFonts w:eastAsia="Calibri"/>
          <w:noProof/>
          <w:lang w:val="es-DO"/>
        </w:rPr>
      </w:pPr>
      <w:r w:rsidRPr="00310D52">
        <w:rPr>
          <w:rFonts w:eastAsia="Calibri"/>
          <w:noProof/>
          <w:lang w:val="es-DO"/>
        </w:rPr>
        <w:object w:dxaOrig="8977" w:dyaOrig="8482" w14:anchorId="0C4850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9.75pt;height:372pt" o:ole="">
            <v:imagedata r:id="rId16" o:title=""/>
          </v:shape>
          <o:OLEObject Type="Embed" ProgID="Excel.Sheet.12" ShapeID="_x0000_i1025" DrawAspect="Content" ObjectID="_1832144365" r:id="rId17"/>
        </w:object>
      </w:r>
    </w:p>
    <w:p w14:paraId="5C585998" w14:textId="673CC0A3" w:rsidR="00A72627" w:rsidRPr="00310D52" w:rsidRDefault="00A72627" w:rsidP="00434602">
      <w:pPr>
        <w:spacing w:after="0" w:line="360" w:lineRule="auto"/>
        <w:jc w:val="both"/>
        <w:rPr>
          <w:rFonts w:eastAsia="Calibri"/>
          <w:i/>
          <w:iCs/>
          <w:noProof/>
          <w:sz w:val="20"/>
          <w:szCs w:val="20"/>
          <w:lang w:val="es-DO"/>
        </w:rPr>
      </w:pPr>
      <w:r w:rsidRPr="00310D52">
        <w:rPr>
          <w:rFonts w:eastAsia="Calibri"/>
          <w:i/>
          <w:iCs/>
          <w:noProof/>
          <w:sz w:val="20"/>
          <w:szCs w:val="20"/>
          <w:lang w:val="es-DO"/>
        </w:rPr>
        <w:t>Fuente: Departamento de Gestión Extrahospitalaria</w:t>
      </w:r>
    </w:p>
    <w:p w14:paraId="51D742C2" w14:textId="2C637A23" w:rsidR="00A72627" w:rsidRPr="00310D52" w:rsidRDefault="00A72627" w:rsidP="00434602">
      <w:pPr>
        <w:spacing w:line="360" w:lineRule="auto"/>
        <w:jc w:val="both"/>
        <w:rPr>
          <w:rFonts w:eastAsiaTheme="majorEastAsia"/>
          <w:b/>
          <w:spacing w:val="0"/>
          <w:szCs w:val="28"/>
          <w:lang w:val="es-DO"/>
        </w:rPr>
      </w:pPr>
      <w:r w:rsidRPr="00310D52">
        <w:rPr>
          <w:rFonts w:eastAsiaTheme="majorEastAsia"/>
          <w:b/>
          <w:spacing w:val="0"/>
          <w:szCs w:val="28"/>
          <w:lang w:val="es-DO"/>
        </w:rPr>
        <w:lastRenderedPageBreak/>
        <w:t>Tabla de Unidades de Ambulancia Interhospitalarias</w:t>
      </w:r>
    </w:p>
    <w:p w14:paraId="65AE2FF4" w14:textId="112D4305" w:rsidR="00A72627" w:rsidRPr="00310D52" w:rsidRDefault="0019602B" w:rsidP="00434602">
      <w:pPr>
        <w:spacing w:line="360" w:lineRule="auto"/>
        <w:jc w:val="both"/>
        <w:rPr>
          <w:rFonts w:eastAsia="Calibri"/>
          <w:noProof/>
          <w:sz w:val="20"/>
          <w:szCs w:val="20"/>
          <w:lang w:val="es-DO"/>
        </w:rPr>
      </w:pPr>
      <w:r w:rsidRPr="00310D52">
        <w:rPr>
          <w:rFonts w:eastAsia="Calibri"/>
          <w:noProof/>
          <w:sz w:val="20"/>
          <w:szCs w:val="20"/>
          <w:lang w:val="es-DO"/>
        </w:rPr>
        <w:object w:dxaOrig="10682" w:dyaOrig="10676" w14:anchorId="643F69E7">
          <v:shape id="_x0000_i1026" type="#_x0000_t75" style="width:406.5pt;height:476.25pt" o:ole="">
            <v:imagedata r:id="rId18" o:title=""/>
          </v:shape>
          <o:OLEObject Type="Embed" ProgID="Excel.Sheet.12" ShapeID="_x0000_i1026" DrawAspect="Content" ObjectID="_1832144366" r:id="rId19"/>
        </w:object>
      </w:r>
    </w:p>
    <w:p w14:paraId="576D5B01" w14:textId="77777777" w:rsidR="0019602B" w:rsidRPr="00310D52" w:rsidRDefault="0019602B" w:rsidP="00434602">
      <w:pPr>
        <w:spacing w:line="360" w:lineRule="auto"/>
        <w:jc w:val="both"/>
        <w:rPr>
          <w:rFonts w:eastAsia="Calibri"/>
          <w:i/>
          <w:iCs/>
          <w:noProof/>
          <w:sz w:val="20"/>
          <w:szCs w:val="20"/>
          <w:lang w:val="es-DO"/>
        </w:rPr>
      </w:pPr>
      <w:r w:rsidRPr="00310D52">
        <w:rPr>
          <w:rFonts w:eastAsia="Calibri"/>
          <w:i/>
          <w:iCs/>
          <w:noProof/>
          <w:sz w:val="20"/>
          <w:szCs w:val="20"/>
          <w:lang w:val="es-DO"/>
        </w:rPr>
        <w:t>Fuente: Departamento de Gestión Extrahospitalaria</w:t>
      </w:r>
    </w:p>
    <w:p w14:paraId="4119A72B" w14:textId="77777777" w:rsidR="005B472D" w:rsidRPr="00310D52" w:rsidRDefault="005B472D" w:rsidP="00434602">
      <w:pPr>
        <w:spacing w:line="360" w:lineRule="auto"/>
        <w:jc w:val="both"/>
        <w:rPr>
          <w:rFonts w:eastAsia="Calibri"/>
          <w:i/>
          <w:iCs/>
          <w:noProof/>
          <w:sz w:val="20"/>
          <w:szCs w:val="20"/>
          <w:lang w:val="es-DO"/>
        </w:rPr>
      </w:pPr>
    </w:p>
    <w:p w14:paraId="771BE2BB" w14:textId="77777777" w:rsidR="005B472D" w:rsidRPr="00310D52" w:rsidRDefault="005B472D" w:rsidP="00434602">
      <w:pPr>
        <w:spacing w:line="360" w:lineRule="auto"/>
        <w:jc w:val="both"/>
        <w:rPr>
          <w:rFonts w:eastAsia="Calibri"/>
          <w:i/>
          <w:iCs/>
          <w:noProof/>
          <w:sz w:val="20"/>
          <w:szCs w:val="20"/>
          <w:lang w:val="es-DO"/>
        </w:rPr>
      </w:pPr>
    </w:p>
    <w:p w14:paraId="60F42B1D" w14:textId="77777777" w:rsidR="005B1419" w:rsidRPr="00310D52" w:rsidRDefault="005B1419" w:rsidP="00434602">
      <w:pPr>
        <w:spacing w:line="360" w:lineRule="auto"/>
        <w:jc w:val="both"/>
        <w:rPr>
          <w:rFonts w:eastAsia="Calibri"/>
          <w:i/>
          <w:iCs/>
          <w:noProof/>
          <w:sz w:val="20"/>
          <w:szCs w:val="20"/>
          <w:lang w:val="es-DO"/>
        </w:rPr>
      </w:pPr>
    </w:p>
    <w:p w14:paraId="108C98C6" w14:textId="6CA47C2F" w:rsidR="002B61DF" w:rsidRPr="00F06D9C" w:rsidRDefault="002B61DF" w:rsidP="00434602">
      <w:pPr>
        <w:keepNext/>
        <w:keepLines/>
        <w:numPr>
          <w:ilvl w:val="1"/>
          <w:numId w:val="10"/>
        </w:numPr>
        <w:spacing w:before="240" w:after="0" w:line="360" w:lineRule="auto"/>
        <w:ind w:left="0" w:hanging="450"/>
        <w:jc w:val="both"/>
        <w:outlineLvl w:val="0"/>
        <w:rPr>
          <w:rFonts w:eastAsiaTheme="majorEastAsia"/>
          <w:b/>
          <w:spacing w:val="0"/>
          <w:lang w:val="es-DO"/>
        </w:rPr>
      </w:pPr>
      <w:bookmarkStart w:id="18" w:name="_Toc217050884"/>
      <w:r w:rsidRPr="00F06D9C">
        <w:rPr>
          <w:rFonts w:eastAsiaTheme="majorEastAsia"/>
          <w:b/>
          <w:spacing w:val="0"/>
          <w:lang w:val="es-DO"/>
        </w:rPr>
        <w:lastRenderedPageBreak/>
        <w:t>Expansión de la cobertura territorial.</w:t>
      </w:r>
      <w:bookmarkEnd w:id="18"/>
    </w:p>
    <w:p w14:paraId="0C7D7096" w14:textId="385C46F1" w:rsidR="0005527B" w:rsidRPr="00310D52" w:rsidRDefault="00233626" w:rsidP="00781A65">
      <w:pPr>
        <w:spacing w:line="360" w:lineRule="auto"/>
        <w:jc w:val="both"/>
        <w:rPr>
          <w:rFonts w:eastAsia="Calibri"/>
          <w:noProof/>
          <w:lang w:val="es-DO"/>
        </w:rPr>
      </w:pPr>
      <w:r w:rsidRPr="00310D52">
        <w:rPr>
          <w:rFonts w:eastAsia="Calibri"/>
          <w:noProof/>
          <w:lang w:val="es-DO"/>
        </w:rPr>
        <w:t>En el marco de la expansión del Sistema Nacional de Atención a Emergencias y Seguridad 9</w:t>
      </w:r>
      <w:r w:rsidR="008358E8" w:rsidRPr="00310D52">
        <w:rPr>
          <w:rFonts w:eastAsia="Calibri"/>
          <w:noProof/>
          <w:lang w:val="es-DO"/>
        </w:rPr>
        <w:t>-</w:t>
      </w:r>
      <w:r w:rsidRPr="00310D52">
        <w:rPr>
          <w:rFonts w:eastAsia="Calibri"/>
          <w:noProof/>
          <w:lang w:val="es-DO"/>
        </w:rPr>
        <w:t>1</w:t>
      </w:r>
      <w:r w:rsidR="008358E8" w:rsidRPr="00310D52">
        <w:rPr>
          <w:rFonts w:eastAsia="Calibri"/>
          <w:noProof/>
          <w:lang w:val="es-DO"/>
        </w:rPr>
        <w:t>-</w:t>
      </w:r>
      <w:r w:rsidRPr="00310D52">
        <w:rPr>
          <w:rFonts w:eastAsia="Calibri"/>
          <w:noProof/>
          <w:lang w:val="es-DO"/>
        </w:rPr>
        <w:t xml:space="preserve">1, la DAEH puso en funcionamiento la nueva base operativa en la provincia de Pedernales, desde donde se coordinarán las labores administrativas, logísticas y de respuesta ante emergencias. Como parte de esta ampliación, se integraron </w:t>
      </w:r>
      <w:r w:rsidR="0046718F" w:rsidRPr="00310D52">
        <w:rPr>
          <w:rFonts w:eastAsia="Calibri"/>
          <w:noProof/>
          <w:lang w:val="es-DO"/>
        </w:rPr>
        <w:t>13</w:t>
      </w:r>
      <w:r w:rsidRPr="00310D52">
        <w:rPr>
          <w:rFonts w:eastAsia="Calibri"/>
          <w:noProof/>
          <w:lang w:val="es-DO"/>
        </w:rPr>
        <w:t xml:space="preserve"> ambulancias totalmente equipadas, distribuidas en puntos estratégicos, incluido el corredor turístico de Cabo Rojo, con el propósito de garantizar atención prehospitalaria oportuna y permanente. Esta iniciativa fortalece la capacidad de respuesta en una provincia de creciente desarrollo turístico y mejora el acceso de residentes y visitantes a los servicios de salud extrahospitalaria.</w:t>
      </w:r>
    </w:p>
    <w:p w14:paraId="1EA1E8E4" w14:textId="0875C24A" w:rsidR="003310D1" w:rsidRPr="00F06D9C" w:rsidRDefault="003310D1" w:rsidP="00434602">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19" w:name="_Toc217050885"/>
      <w:r w:rsidRPr="00F06D9C">
        <w:rPr>
          <w:rFonts w:eastAsiaTheme="majorEastAsia"/>
          <w:b/>
          <w:spacing w:val="0"/>
          <w:szCs w:val="28"/>
          <w:lang w:val="es-DO"/>
        </w:rPr>
        <w:t>Gestión del Riesgo y Respuesta ante Desastres</w:t>
      </w:r>
      <w:bookmarkEnd w:id="19"/>
    </w:p>
    <w:p w14:paraId="2D8347F1" w14:textId="77777777" w:rsidR="003310D1" w:rsidRPr="00310D52" w:rsidRDefault="003310D1" w:rsidP="00434602">
      <w:pPr>
        <w:spacing w:line="360" w:lineRule="auto"/>
        <w:jc w:val="both"/>
        <w:rPr>
          <w:rFonts w:eastAsia="Calibri"/>
          <w:noProof/>
          <w:lang w:val="es-DO"/>
        </w:rPr>
      </w:pPr>
      <w:r w:rsidRPr="00310D52">
        <w:rPr>
          <w:rFonts w:eastAsia="Calibri"/>
          <w:noProof/>
          <w:lang w:val="es-DO"/>
        </w:rPr>
        <w:t>La gestión de riesgos se fortaleció significativamente mediante acciones orientadas a la prevención, preparación y respuesta ante emergencias. Se desarrollaron talleres especializados en primeros auxilios, emergencias de origen natural y evacuación dirigidos a las brigadas de respuesta de la DAEH y los CRUE a nivel nacional, junto con capacitaciones teórico-prácticas en combate contra incendios y manejo de eventos naturales y antrópicos. Como parte del apoyo directo a la ciudadanía, se instalaron carpas médicas en actividades masivas en Santo Domingo, Santiago y Bonao, donde se brindó asistencia a</w:t>
      </w:r>
      <w:r w:rsidRPr="00310D52">
        <w:rPr>
          <w:rFonts w:eastAsia="Calibri"/>
          <w:b/>
          <w:bCs/>
          <w:noProof/>
          <w:lang w:val="es-DO"/>
        </w:rPr>
        <w:t xml:space="preserve"> </w:t>
      </w:r>
      <w:r w:rsidRPr="00310D52">
        <w:rPr>
          <w:rFonts w:eastAsia="Calibri"/>
          <w:noProof/>
          <w:lang w:val="es-DO"/>
        </w:rPr>
        <w:t>127 personas en total.</w:t>
      </w:r>
    </w:p>
    <w:p w14:paraId="68CC7446" w14:textId="77777777" w:rsidR="0019602B" w:rsidRPr="00310D52" w:rsidRDefault="003310D1" w:rsidP="00434602">
      <w:pPr>
        <w:spacing w:line="360" w:lineRule="auto"/>
        <w:jc w:val="both"/>
        <w:rPr>
          <w:rFonts w:eastAsia="Calibri"/>
          <w:noProof/>
          <w:lang w:val="es-DO"/>
        </w:rPr>
      </w:pPr>
      <w:r w:rsidRPr="00310D52">
        <w:rPr>
          <w:rFonts w:eastAsia="Calibri"/>
          <w:noProof/>
          <w:lang w:val="es-DO"/>
        </w:rPr>
        <w:t xml:space="preserve">Para garantizar una coordinación eficaz durante los principales operativos nacionales, se establecieron mesas de trabajo con el COE, el MSP, el SNS, autoridades municipales y equipos internos de la institución, orientadas a la preparación del Operativo Semana Santa 2025 y la temporada ciclónica. </w:t>
      </w:r>
    </w:p>
    <w:p w14:paraId="75BB51C3" w14:textId="76CE70DB" w:rsidR="003310D1" w:rsidRPr="00310D52" w:rsidRDefault="003310D1" w:rsidP="00434602">
      <w:pPr>
        <w:spacing w:line="360" w:lineRule="auto"/>
        <w:jc w:val="both"/>
        <w:rPr>
          <w:rFonts w:eastAsia="Calibri"/>
          <w:noProof/>
          <w:lang w:val="es-DO"/>
        </w:rPr>
      </w:pPr>
      <w:r w:rsidRPr="00310D52">
        <w:rPr>
          <w:rFonts w:eastAsia="Calibri"/>
          <w:noProof/>
          <w:lang w:val="es-DO"/>
        </w:rPr>
        <w:t xml:space="preserve">Asimismo, se participó activamente en el Simulacro Nacional de Evacuación, logrando la </w:t>
      </w:r>
      <w:r w:rsidRPr="00310D52">
        <w:rPr>
          <w:rFonts w:eastAsia="Calibri"/>
          <w:noProof/>
          <w:lang w:val="es-DO"/>
        </w:rPr>
        <w:lastRenderedPageBreak/>
        <w:t xml:space="preserve">movilización de 948 personas entre la sede central, edificio 2 y los CRUE a nivel nacional. También se mantuvo acompañamiento técnico en ferias, operativos navideños y procesos de elaboración de planes de emergencia regionales, involucrando a más de 30 colaboradores. </w:t>
      </w:r>
    </w:p>
    <w:p w14:paraId="63DDF23B" w14:textId="5C6C5730" w:rsidR="003310D1" w:rsidRPr="00310D52" w:rsidRDefault="003310D1" w:rsidP="00434602">
      <w:pPr>
        <w:spacing w:line="360" w:lineRule="auto"/>
        <w:jc w:val="both"/>
        <w:rPr>
          <w:rFonts w:eastAsia="Calibri"/>
          <w:noProof/>
          <w:lang w:val="es-DO"/>
        </w:rPr>
      </w:pPr>
      <w:r w:rsidRPr="00310D52">
        <w:rPr>
          <w:rFonts w:eastAsia="Calibri"/>
          <w:noProof/>
          <w:lang w:val="es-DO"/>
        </w:rPr>
        <w:t>Estas acciones fueron complementadas con levantamientos de riesgos en las bases operativas y apoyo directo a equipos residenciales, consolidando así una gestión de riesgos más robusta, articulada y orientada a la protección institucional y ciudadana.</w:t>
      </w:r>
    </w:p>
    <w:p w14:paraId="7DE0B5F3" w14:textId="6F20E7DF" w:rsidR="003310D1" w:rsidRPr="00F06D9C" w:rsidRDefault="003310D1" w:rsidP="00434602">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20" w:name="_Toc217050886"/>
      <w:r w:rsidRPr="00F06D9C">
        <w:rPr>
          <w:rFonts w:eastAsiaTheme="majorEastAsia"/>
          <w:b/>
          <w:spacing w:val="0"/>
          <w:szCs w:val="28"/>
          <w:lang w:val="es-DO"/>
        </w:rPr>
        <w:t>Entrenamientos Técnicos</w:t>
      </w:r>
      <w:bookmarkEnd w:id="20"/>
    </w:p>
    <w:p w14:paraId="6052FE50" w14:textId="5388B595" w:rsidR="003310D1" w:rsidRPr="00310D52" w:rsidRDefault="003310D1" w:rsidP="00434602">
      <w:pPr>
        <w:spacing w:line="360" w:lineRule="auto"/>
        <w:jc w:val="both"/>
        <w:rPr>
          <w:rFonts w:eastAsia="Calibri"/>
          <w:noProof/>
          <w:lang w:val="es-DO"/>
        </w:rPr>
      </w:pPr>
      <w:bookmarkStart w:id="21" w:name="_Hlk216270122"/>
      <w:r w:rsidRPr="00310D52">
        <w:rPr>
          <w:rFonts w:eastAsia="Calibri"/>
          <w:noProof/>
          <w:lang w:val="es-DO"/>
        </w:rPr>
        <w:t>El fortalecimiento de capacidades técnicas tuvo un impacto nacional, logrando capacitar a 16,301 personas entre colaboradores asistenciales y población general, mediante el Programa Cuidando Vida y diversas acciones formativas. De este total, 1,401 colaboradores fueron entrenados en control de hemorragias, 2,762 en el uso de ventiladores mecánicos, 1,141 en manejo de pacientes con trauma y 456 en atención a quemaduras. Además, se ejecutaron entrenamientos masivos durante la Feria Internacional del Libro, donde el programa Mano Solo Mano logró impactar a 3,124 personas, reforzando conocimientos en reanimación cardiopulmonar.</w:t>
      </w:r>
    </w:p>
    <w:p w14:paraId="6E029697" w14:textId="5236C609" w:rsidR="003310D1" w:rsidRPr="00310D52" w:rsidRDefault="003310D1" w:rsidP="00434602">
      <w:pPr>
        <w:spacing w:line="360" w:lineRule="auto"/>
        <w:jc w:val="both"/>
        <w:rPr>
          <w:rFonts w:eastAsia="Calibri"/>
          <w:noProof/>
          <w:lang w:val="es-DO"/>
        </w:rPr>
      </w:pPr>
      <w:r w:rsidRPr="00310D52">
        <w:rPr>
          <w:rFonts w:eastAsia="Calibri"/>
          <w:noProof/>
          <w:lang w:val="es-DO"/>
        </w:rPr>
        <w:t xml:space="preserve">Asimismo, 1,282 nuevos colaboradores asistenciales y técnicos en transporte sanitario fueron formados para integrarse a la División de Entrenamiento y Simulacro. Otras acciones incluyeron capacitaciones en evaluación primaria, RCP y uso de DEA para 54 </w:t>
      </w:r>
      <w:bookmarkEnd w:id="21"/>
      <w:r w:rsidRPr="00310D52">
        <w:rPr>
          <w:rFonts w:eastAsia="Calibri"/>
          <w:noProof/>
          <w:lang w:val="es-DO"/>
        </w:rPr>
        <w:t>colaboradores, entrenamientos en soporte vital básico para efectivos militares, así como reforzamientos operativos dirigidos al uso, manejo y funcionamiento de ambulancias, monitores desfibriladores e incubadoras, beneficiando a 269, 105 y 2,249 colaboradores,</w:t>
      </w:r>
      <w:r w:rsidR="00467EB5" w:rsidRPr="00310D52">
        <w:rPr>
          <w:rFonts w:eastAsia="Calibri"/>
          <w:noProof/>
          <w:lang w:val="es-DO"/>
        </w:rPr>
        <w:t xml:space="preserve"> </w:t>
      </w:r>
      <w:r w:rsidRPr="00310D52">
        <w:rPr>
          <w:rFonts w:eastAsia="Calibri"/>
          <w:noProof/>
          <w:lang w:val="es-DO"/>
        </w:rPr>
        <w:t xml:space="preserve">respectivamente. Complementariamente, 1,455 colaboradores fueron entrenados en </w:t>
      </w:r>
      <w:r w:rsidRPr="00310D52">
        <w:rPr>
          <w:rFonts w:eastAsia="Calibri"/>
          <w:noProof/>
          <w:lang w:val="es-DO"/>
        </w:rPr>
        <w:lastRenderedPageBreak/>
        <w:t>emergencias clínicas y 953 en emergencias médicas generales. En conjunto, estas iniciativas evidencian un compromiso sostenido con el desarrollo técnico, la estandarización de competencias y la mejora continua de la capacidad operativa institucional.</w:t>
      </w:r>
    </w:p>
    <w:p w14:paraId="512EB6B0" w14:textId="139BA0C1" w:rsidR="003310D1" w:rsidRPr="00310D52" w:rsidRDefault="003310D1" w:rsidP="00434602">
      <w:pPr>
        <w:spacing w:line="360" w:lineRule="auto"/>
        <w:jc w:val="both"/>
        <w:rPr>
          <w:rFonts w:eastAsia="Calibri"/>
          <w:noProof/>
          <w:lang w:val="es-DO"/>
        </w:rPr>
      </w:pPr>
      <w:r w:rsidRPr="00310D52">
        <w:rPr>
          <w:rFonts w:eastAsia="Calibri"/>
          <w:noProof/>
          <w:lang w:val="es-DO"/>
        </w:rPr>
        <w:t>Desagregado por tipo de capacitación estad</w:t>
      </w:r>
      <w:r w:rsidR="00B92191" w:rsidRPr="00310D52">
        <w:rPr>
          <w:rFonts w:eastAsia="Calibri"/>
          <w:noProof/>
          <w:lang w:val="es-DO"/>
        </w:rPr>
        <w:t>í</w:t>
      </w:r>
      <w:r w:rsidRPr="00310D52">
        <w:rPr>
          <w:rFonts w:eastAsia="Calibri"/>
          <w:noProof/>
          <w:lang w:val="es-DO"/>
        </w:rPr>
        <w:t>sticamente:</w:t>
      </w:r>
    </w:p>
    <w:p w14:paraId="46F7C513" w14:textId="04D37410" w:rsidR="00870AD0" w:rsidRPr="00310D52" w:rsidRDefault="00870AD0" w:rsidP="00434602">
      <w:pPr>
        <w:spacing w:line="360" w:lineRule="auto"/>
        <w:jc w:val="both"/>
        <w:rPr>
          <w:rFonts w:eastAsia="Calibri"/>
          <w:noProof/>
          <w:lang w:val="es-DO"/>
        </w:rPr>
      </w:pPr>
      <w:r w:rsidRPr="00310D52">
        <w:rPr>
          <w:rFonts w:eastAsia="Calibri"/>
          <w:noProof/>
          <w:lang w:val="es-DO"/>
        </w:rPr>
        <w:object w:dxaOrig="8446" w:dyaOrig="7947" w14:anchorId="12E09260">
          <v:shape id="_x0000_i1027" type="#_x0000_t75" style="width:401.25pt;height:397.5pt" o:ole="">
            <v:imagedata r:id="rId20" o:title=""/>
          </v:shape>
          <o:OLEObject Type="Embed" ProgID="Excel.Sheet.12" ShapeID="_x0000_i1027" DrawAspect="Content" ObjectID="_1832144367" r:id="rId21"/>
        </w:object>
      </w:r>
    </w:p>
    <w:p w14:paraId="54E958CD" w14:textId="5ACDB4A5" w:rsidR="0019602B" w:rsidRDefault="003310D1" w:rsidP="00434602">
      <w:pPr>
        <w:spacing w:line="360" w:lineRule="auto"/>
        <w:jc w:val="both"/>
        <w:rPr>
          <w:rFonts w:eastAsia="Calibri"/>
          <w:i/>
          <w:iCs/>
          <w:noProof/>
          <w:sz w:val="18"/>
          <w:szCs w:val="18"/>
          <w:lang w:val="es-DO"/>
        </w:rPr>
      </w:pPr>
      <w:r w:rsidRPr="00310D52">
        <w:rPr>
          <w:rFonts w:eastAsia="Calibri"/>
          <w:i/>
          <w:iCs/>
          <w:noProof/>
          <w:sz w:val="18"/>
          <w:szCs w:val="18"/>
          <w:lang w:val="es-DO"/>
        </w:rPr>
        <w:t>Fuente: División de Entrenamientos y Simulacros</w:t>
      </w:r>
    </w:p>
    <w:p w14:paraId="2C27563F" w14:textId="77777777" w:rsidR="00F06D9C" w:rsidRDefault="00F06D9C" w:rsidP="00434602">
      <w:pPr>
        <w:spacing w:line="360" w:lineRule="auto"/>
        <w:jc w:val="both"/>
        <w:rPr>
          <w:rFonts w:eastAsia="Calibri"/>
          <w:i/>
          <w:iCs/>
          <w:noProof/>
          <w:sz w:val="18"/>
          <w:szCs w:val="18"/>
          <w:lang w:val="es-DO"/>
        </w:rPr>
      </w:pPr>
    </w:p>
    <w:p w14:paraId="1EA43002" w14:textId="77777777" w:rsidR="00F06D9C" w:rsidRPr="00310D52" w:rsidRDefault="00F06D9C" w:rsidP="00434602">
      <w:pPr>
        <w:spacing w:line="360" w:lineRule="auto"/>
        <w:jc w:val="both"/>
        <w:rPr>
          <w:rFonts w:eastAsia="Calibri"/>
          <w:i/>
          <w:iCs/>
          <w:noProof/>
          <w:sz w:val="18"/>
          <w:szCs w:val="18"/>
          <w:lang w:val="es-DO"/>
        </w:rPr>
      </w:pPr>
    </w:p>
    <w:p w14:paraId="2DC842EA" w14:textId="54A29FFE" w:rsidR="002B61DF" w:rsidRPr="00F06D9C" w:rsidRDefault="002B61DF" w:rsidP="00434602">
      <w:pPr>
        <w:keepNext/>
        <w:keepLines/>
        <w:numPr>
          <w:ilvl w:val="1"/>
          <w:numId w:val="10"/>
        </w:numPr>
        <w:spacing w:before="240" w:after="0" w:line="360" w:lineRule="auto"/>
        <w:ind w:left="0" w:hanging="450"/>
        <w:jc w:val="both"/>
        <w:outlineLvl w:val="0"/>
        <w:rPr>
          <w:rFonts w:eastAsiaTheme="majorEastAsia"/>
          <w:b/>
          <w:spacing w:val="0"/>
          <w:szCs w:val="28"/>
          <w:lang w:val="es-DO"/>
        </w:rPr>
      </w:pPr>
      <w:bookmarkStart w:id="22" w:name="_Toc217050887"/>
      <w:r w:rsidRPr="00F06D9C">
        <w:rPr>
          <w:rFonts w:eastAsiaTheme="majorEastAsia"/>
          <w:b/>
          <w:spacing w:val="0"/>
          <w:szCs w:val="28"/>
          <w:lang w:val="es-DO"/>
        </w:rPr>
        <w:lastRenderedPageBreak/>
        <w:t>Coordinación y Enlace con la Red Pública de Salud</w:t>
      </w:r>
      <w:bookmarkEnd w:id="22"/>
    </w:p>
    <w:p w14:paraId="5129A843" w14:textId="53D9370F" w:rsidR="00C4768C" w:rsidRPr="00310D52" w:rsidRDefault="00C4768C" w:rsidP="00434602">
      <w:pPr>
        <w:spacing w:line="360" w:lineRule="auto"/>
        <w:jc w:val="both"/>
        <w:rPr>
          <w:rFonts w:eastAsia="Calibri"/>
          <w:noProof/>
          <w:lang w:val="es-DO"/>
        </w:rPr>
      </w:pPr>
      <w:r w:rsidRPr="00310D52">
        <w:rPr>
          <w:rFonts w:eastAsia="Calibri"/>
          <w:noProof/>
          <w:lang w:val="es-DO"/>
        </w:rPr>
        <w:t xml:space="preserve">Durante el 2025 se ejecutaron </w:t>
      </w:r>
      <w:bookmarkStart w:id="23" w:name="_Hlk216272204"/>
      <w:r w:rsidRPr="00310D52">
        <w:rPr>
          <w:rFonts w:eastAsia="Calibri"/>
          <w:noProof/>
          <w:lang w:val="es-DO"/>
        </w:rPr>
        <w:t>acciones para fortalecer la articulación operativa entre la atención extrahospitalaria, los centros de salud y las instituciones aliadas</w:t>
      </w:r>
      <w:bookmarkEnd w:id="23"/>
      <w:r w:rsidRPr="00310D52">
        <w:rPr>
          <w:rFonts w:eastAsia="Calibri"/>
          <w:noProof/>
          <w:lang w:val="es-DO"/>
        </w:rPr>
        <w:t>. Estas iniciativas contribuyeron a mejorar la calidad, continuidad y oportunidad de la respuesta prehospitalaria, impactando tanto al personal operativo como a los usuarios del sistema.</w:t>
      </w:r>
    </w:p>
    <w:p w14:paraId="2CCB1D6F" w14:textId="31192CB9" w:rsidR="00C4768C" w:rsidRPr="00310D52" w:rsidRDefault="00C4768C" w:rsidP="00434602">
      <w:pPr>
        <w:spacing w:line="360" w:lineRule="auto"/>
        <w:jc w:val="both"/>
        <w:rPr>
          <w:rFonts w:eastAsia="Calibri"/>
          <w:noProof/>
          <w:lang w:val="es-DO"/>
        </w:rPr>
      </w:pPr>
      <w:r w:rsidRPr="00310D52">
        <w:rPr>
          <w:rFonts w:eastAsia="Calibri"/>
          <w:noProof/>
          <w:lang w:val="es-DO"/>
        </w:rPr>
        <w:t>En materia de enlace interinstitucional</w:t>
      </w:r>
      <w:r w:rsidRPr="00310D52">
        <w:rPr>
          <w:rFonts w:eastAsia="Calibri"/>
          <w:b/>
          <w:bCs/>
          <w:noProof/>
          <w:lang w:val="es-DO"/>
        </w:rPr>
        <w:t>,</w:t>
      </w:r>
      <w:r w:rsidRPr="00310D52">
        <w:rPr>
          <w:rFonts w:eastAsia="Calibri"/>
          <w:noProof/>
          <w:lang w:val="es-DO"/>
        </w:rPr>
        <w:t xml:space="preserve"> se consolidó un proceso de coordinación con entidades del sector salud mediante la creación de seis mesas de trabajo con el Ministerio de Salud Pública, CONAPE, la Dirección Materno Infantil y el área de Salud Mental del SNS, entre otros. Estas mesas permitieron avanzar en la revisión y actualización de lineamientos asistenciales, incluyendo la elaboración de protocolos para el traslado de pacientes respiratorios e infectocontagiosos, con énfasis en tuberculosis, beneficiando directamente al equipo técnico del CRUE y al personal hospitalario vinculado a los procesos de atención y transferencia de pacientes.</w:t>
      </w:r>
    </w:p>
    <w:p w14:paraId="0F0294A2" w14:textId="710CD421" w:rsidR="00467EB5" w:rsidRPr="00310D52" w:rsidRDefault="00C4768C" w:rsidP="00434602">
      <w:pPr>
        <w:spacing w:line="360" w:lineRule="auto"/>
        <w:jc w:val="both"/>
        <w:rPr>
          <w:rFonts w:eastAsia="Calibri"/>
          <w:noProof/>
          <w:lang w:val="es-DO"/>
        </w:rPr>
      </w:pPr>
      <w:r w:rsidRPr="00310D52">
        <w:rPr>
          <w:rFonts w:eastAsia="Calibri"/>
          <w:noProof/>
          <w:lang w:val="es-DO"/>
        </w:rPr>
        <w:t>Como parte del Programa de Salud Mental Institucional, se fortaleció el acompañamiento emocional del personal, especialmente de aquellos expuestos a situaciones críticas. Se implementaron Primeros Auxilios Psicológicos para colaboradores involucrados en eventos de alto impacto, beneficiando a 75 personas, además de la realización de talleres preventivos de bienestar emocional, que impactaron a 50 colaboradores. Estas acciones consolidan un modelo de apoyo continuo que favorece la estabilidad emocional y el desempeño del talento humano.</w:t>
      </w:r>
    </w:p>
    <w:p w14:paraId="147FB737" w14:textId="77777777" w:rsidR="00C336E5" w:rsidRPr="00310D52" w:rsidRDefault="0019602B" w:rsidP="00434602">
      <w:pPr>
        <w:spacing w:line="360" w:lineRule="auto"/>
        <w:jc w:val="both"/>
        <w:rPr>
          <w:rFonts w:eastAsia="Calibri"/>
          <w:noProof/>
          <w:lang w:val="es-DO"/>
        </w:rPr>
      </w:pPr>
      <w:r w:rsidRPr="00310D52">
        <w:rPr>
          <w:rFonts w:eastAsia="Calibri"/>
          <w:noProof/>
          <w:lang w:val="es-DO"/>
        </w:rPr>
        <w:t>El fortalecimiento de las capacidades técnicas y del bienestar del personal constituyó un componente esencial durante el período.</w:t>
      </w:r>
    </w:p>
    <w:p w14:paraId="64AABA6F" w14:textId="1B332784" w:rsidR="00C4768C" w:rsidRPr="00310D52" w:rsidRDefault="0019602B" w:rsidP="00781A65">
      <w:pPr>
        <w:spacing w:line="360" w:lineRule="auto"/>
        <w:jc w:val="both"/>
        <w:rPr>
          <w:rFonts w:eastAsia="Calibri"/>
          <w:noProof/>
          <w:lang w:val="es-DO"/>
        </w:rPr>
      </w:pPr>
      <w:r w:rsidRPr="00310D52">
        <w:rPr>
          <w:rFonts w:eastAsia="Calibri"/>
          <w:noProof/>
          <w:lang w:val="es-DO"/>
        </w:rPr>
        <w:lastRenderedPageBreak/>
        <w:t>En este marco, se desarrolló un programa integral de formación y acompañamiento que incluyó el Taller de Traslado Neonatal Seguro, dirigido a 15 colaboradores del CRUE, y el Taller de Desensibilización Sistemática, enfocado en el manejo emocional del estrés, que benefició a 20 colaboradores. De manera complementaria, se realizaron jornadas de debriefing post-eventos críticos con la participación de 37 colaboradores, así como consultas psicológicas que brindaron atención directa a 148 personas y consultas nutricionales para 132 colaboradores, contribuyendo de forma integral al fortalecimiento del desempeño, la estabilidad emocional y el bienestar del talento humano.</w:t>
      </w:r>
    </w:p>
    <w:p w14:paraId="26EADE64" w14:textId="02A47EAB" w:rsidR="002B61DF" w:rsidRPr="00310D52" w:rsidRDefault="00C4768C" w:rsidP="00781A65">
      <w:pPr>
        <w:spacing w:line="360" w:lineRule="auto"/>
        <w:jc w:val="both"/>
        <w:rPr>
          <w:rFonts w:eastAsia="Calibri"/>
          <w:noProof/>
          <w:lang w:val="es-DO"/>
        </w:rPr>
      </w:pPr>
      <w:r w:rsidRPr="00310D52">
        <w:rPr>
          <w:rFonts w:eastAsia="Calibri"/>
          <w:noProof/>
          <w:lang w:val="es-DO"/>
        </w:rPr>
        <w:t>En cuanto al soporte operativo, se mantuvo un monitoreo permanente a la retención de unidades, logrando la liberación de más de 5,200 ambulancias durante el año, acción que impacta directamente en la disponibilidad de respuesta del Sistema 9-1-1 en todas las provincias cubiertas. Adicionalmente, se brindó acompañamiento en situaciones críticas como la atención psicosocial tras el siniestro del Jet Set, ofreciendo apoyo a 25 familias e involucrando a 75 colaboradores en la operación de respuesta. También se apoyó la implementación del Código Ictus en Santiago, contribuyendo al fortalecimiento de los circuitos de atención para eventos cerebrovasculares.</w:t>
      </w:r>
    </w:p>
    <w:p w14:paraId="71F9221D" w14:textId="1DC939BB" w:rsidR="00C336E5" w:rsidRPr="00310D52" w:rsidRDefault="00C336E5" w:rsidP="00434602">
      <w:pPr>
        <w:spacing w:line="360" w:lineRule="auto"/>
        <w:jc w:val="both"/>
        <w:rPr>
          <w:rFonts w:eastAsia="Calibri"/>
          <w:noProof/>
          <w:lang w:val="es-DO"/>
        </w:rPr>
      </w:pPr>
    </w:p>
    <w:p w14:paraId="01FF8F50" w14:textId="77777777" w:rsidR="00C336E5" w:rsidRPr="00310D52" w:rsidRDefault="00C336E5" w:rsidP="00434602">
      <w:pPr>
        <w:spacing w:line="360" w:lineRule="auto"/>
        <w:jc w:val="both"/>
        <w:rPr>
          <w:rFonts w:eastAsia="Calibri"/>
          <w:noProof/>
          <w:lang w:val="es-DO"/>
        </w:rPr>
      </w:pPr>
    </w:p>
    <w:p w14:paraId="0E9B9DFB" w14:textId="77777777" w:rsidR="00C336E5" w:rsidRPr="00310D52" w:rsidRDefault="00C336E5" w:rsidP="00C336E5">
      <w:pPr>
        <w:spacing w:line="360" w:lineRule="auto"/>
        <w:jc w:val="both"/>
        <w:rPr>
          <w:rFonts w:eastAsia="Calibri"/>
          <w:noProof/>
          <w:lang w:val="es-DO"/>
        </w:rPr>
      </w:pPr>
    </w:p>
    <w:p w14:paraId="7A23F787" w14:textId="77777777" w:rsidR="00C336E5" w:rsidRPr="00310D52" w:rsidRDefault="00C336E5" w:rsidP="00C336E5">
      <w:pPr>
        <w:spacing w:line="360" w:lineRule="auto"/>
        <w:jc w:val="both"/>
        <w:rPr>
          <w:rFonts w:eastAsia="Calibri"/>
          <w:noProof/>
          <w:lang w:val="es-DO"/>
        </w:rPr>
      </w:pPr>
    </w:p>
    <w:p w14:paraId="1CF3B87F" w14:textId="77777777" w:rsidR="00C336E5" w:rsidRPr="00310D52" w:rsidRDefault="00C336E5" w:rsidP="00C336E5">
      <w:pPr>
        <w:spacing w:line="360" w:lineRule="auto"/>
        <w:jc w:val="both"/>
        <w:rPr>
          <w:rFonts w:eastAsia="Calibri"/>
          <w:noProof/>
          <w:lang w:val="es-DO"/>
        </w:rPr>
      </w:pPr>
    </w:p>
    <w:p w14:paraId="480AB252" w14:textId="760B2B21" w:rsidR="00654164" w:rsidRPr="00310D52" w:rsidRDefault="00654164" w:rsidP="00380E7E">
      <w:pPr>
        <w:pStyle w:val="Ttulo1"/>
        <w:numPr>
          <w:ilvl w:val="0"/>
          <w:numId w:val="1"/>
        </w:numPr>
        <w:rPr>
          <w:rFonts w:cs="Times New Roman"/>
          <w:color w:val="767171"/>
          <w:lang w:val="es-DO"/>
        </w:rPr>
      </w:pPr>
      <w:bookmarkStart w:id="24" w:name="_Toc217050888"/>
      <w:r w:rsidRPr="00310D52">
        <w:rPr>
          <w:rFonts w:cs="Times New Roman"/>
          <w:color w:val="767171"/>
          <w:lang w:val="es-DO"/>
        </w:rPr>
        <w:lastRenderedPageBreak/>
        <w:t>RESULTADOS DE LAS ÁREAS TRANSVERSALES Y DE APOYO</w:t>
      </w:r>
      <w:bookmarkEnd w:id="24"/>
    </w:p>
    <w:p w14:paraId="5D67DA4A" w14:textId="77777777" w:rsidR="00654164" w:rsidRPr="00310D52" w:rsidRDefault="00654164" w:rsidP="00654164">
      <w:pPr>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713536" behindDoc="0" locked="0" layoutInCell="1" allowOverlap="1" wp14:anchorId="76EDFA29" wp14:editId="5B479CBE">
                <wp:simplePos x="0" y="0"/>
                <wp:positionH relativeFrom="margin">
                  <wp:posOffset>2317750</wp:posOffset>
                </wp:positionH>
                <wp:positionV relativeFrom="paragraph">
                  <wp:posOffset>88117</wp:posOffset>
                </wp:positionV>
                <wp:extent cx="463550" cy="0"/>
                <wp:effectExtent l="22860" t="15875" r="18415" b="22225"/>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C9FE4" id="Straight Connector 15" o:spid="_x0000_s1026" style="position:absolute;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82.5pt,6.95pt" to="219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" strokecolor="#ee2a24" strokeweight="2.25pt">
                <v:stroke joinstyle="miter"/>
                <w10:wrap anchorx="margin"/>
              </v:line>
            </w:pict>
          </mc:Fallback>
        </mc:AlternateContent>
      </w:r>
    </w:p>
    <w:p w14:paraId="742E354D" w14:textId="45311FEF" w:rsidR="00654164" w:rsidRPr="00310D52" w:rsidRDefault="00654164" w:rsidP="00654164">
      <w:pPr>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2BBFC4CF" w14:textId="77777777" w:rsidR="00654164" w:rsidRPr="00310D52" w:rsidRDefault="00654164" w:rsidP="00654164">
      <w:pPr>
        <w:jc w:val="center"/>
        <w:rPr>
          <w:noProof/>
          <w:lang w:val="es-DO"/>
        </w:rPr>
      </w:pPr>
    </w:p>
    <w:p w14:paraId="0EFE30EC" w14:textId="4659C8E7" w:rsidR="005C3D4D" w:rsidRPr="00F06D9C" w:rsidRDefault="005C3D4D" w:rsidP="00F06D9C">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25" w:name="_Toc217050889"/>
      <w:bookmarkStart w:id="26" w:name="_Toc184936518"/>
      <w:r w:rsidRPr="00F06D9C">
        <w:rPr>
          <w:rFonts w:eastAsiaTheme="majorEastAsia"/>
          <w:b/>
          <w:spacing w:val="0"/>
          <w:szCs w:val="28"/>
          <w:lang w:val="es-DO"/>
        </w:rPr>
        <w:t>Desempeño Área Administrativa y Financiera</w:t>
      </w:r>
      <w:bookmarkEnd w:id="25"/>
    </w:p>
    <w:p w14:paraId="43AE2D5B" w14:textId="53B92204" w:rsidR="005C3D4D" w:rsidRPr="00310D52" w:rsidRDefault="005C3D4D" w:rsidP="005C3D4D">
      <w:pPr>
        <w:spacing w:line="360" w:lineRule="auto"/>
        <w:jc w:val="both"/>
        <w:rPr>
          <w:rFonts w:eastAsia="Calibri"/>
          <w:noProof/>
          <w:lang w:val="es-DO"/>
        </w:rPr>
      </w:pPr>
      <w:r w:rsidRPr="00310D52">
        <w:rPr>
          <w:rFonts w:eastAsia="Calibri"/>
          <w:noProof/>
          <w:lang w:val="es-DO"/>
        </w:rPr>
        <w:t>La Dirección de Servicios de Atención a Emergencias Extrahospitalarias (DAEH), para el año 2025 se le asignó un presupuesto de RD$7,256,831,790.00</w:t>
      </w:r>
      <w:r w:rsidRPr="00310D52">
        <w:rPr>
          <w:rFonts w:eastAsia="Calibri"/>
          <w:b/>
          <w:bCs/>
          <w:noProof/>
          <w:lang w:val="es-DO"/>
        </w:rPr>
        <w:t>,</w:t>
      </w:r>
      <w:r w:rsidRPr="00310D52">
        <w:rPr>
          <w:rFonts w:eastAsia="Calibri"/>
          <w:noProof/>
          <w:lang w:val="es-DO"/>
        </w:rPr>
        <w:t xml:space="preserve"> para dar continuidad a su misión de proveer asistencia sanitaria urgente, especializada, oportuna y adecuada en beneficio de todos los usuarios en el territorio nacional.</w:t>
      </w:r>
    </w:p>
    <w:p w14:paraId="7E0D72D1" w14:textId="12812617" w:rsidR="005C3D4D" w:rsidRPr="00310D52" w:rsidRDefault="005C3D4D" w:rsidP="005C3D4D">
      <w:pPr>
        <w:spacing w:line="360" w:lineRule="auto"/>
        <w:jc w:val="both"/>
        <w:rPr>
          <w:rFonts w:eastAsia="Calibri"/>
          <w:b/>
          <w:bCs/>
          <w:noProof/>
          <w:lang w:val="es-DO"/>
        </w:rPr>
      </w:pPr>
      <w:r w:rsidRPr="00310D52">
        <w:rPr>
          <w:rFonts w:eastAsia="Calibri"/>
          <w:b/>
          <w:bCs/>
          <w:noProof/>
          <w:lang w:val="es-DO"/>
        </w:rPr>
        <w:t>Presupuesto Aprobado Año 2025 por Objeto del Gasto</w:t>
      </w:r>
      <w:r w:rsidR="00E334A5" w:rsidRPr="00310D52">
        <w:rPr>
          <w:rFonts w:eastAsia="Calibri"/>
          <w:b/>
          <w:bCs/>
          <w:noProof/>
          <w:lang w:val="es-DO"/>
        </w:rPr>
        <w:t xml:space="preserve"> (RD$)</w:t>
      </w:r>
    </w:p>
    <w:tbl>
      <w:tblPr>
        <w:tblW w:w="6280" w:type="dxa"/>
        <w:tblLook w:val="04A0" w:firstRow="1" w:lastRow="0" w:firstColumn="1" w:lastColumn="0" w:noHBand="0" w:noVBand="1"/>
      </w:tblPr>
      <w:tblGrid>
        <w:gridCol w:w="4480"/>
        <w:gridCol w:w="1896"/>
      </w:tblGrid>
      <w:tr w:rsidR="00310D52" w:rsidRPr="00870AD0" w14:paraId="4A1ACA80" w14:textId="77777777" w:rsidTr="00870AD0">
        <w:trPr>
          <w:trHeight w:val="315"/>
        </w:trPr>
        <w:tc>
          <w:tcPr>
            <w:tcW w:w="4480" w:type="dxa"/>
            <w:tcBorders>
              <w:top w:val="single" w:sz="4" w:space="0" w:color="auto"/>
              <w:left w:val="single" w:sz="4" w:space="0" w:color="auto"/>
              <w:bottom w:val="single" w:sz="4" w:space="0" w:color="auto"/>
              <w:right w:val="single" w:sz="4" w:space="0" w:color="auto"/>
            </w:tcBorders>
            <w:shd w:val="clear" w:color="000000" w:fill="142F62"/>
            <w:noWrap/>
            <w:vAlign w:val="center"/>
            <w:hideMark/>
          </w:tcPr>
          <w:p w14:paraId="057A8F59" w14:textId="77777777" w:rsidR="00870AD0" w:rsidRPr="00870AD0" w:rsidRDefault="00870AD0" w:rsidP="00870AD0">
            <w:pPr>
              <w:spacing w:after="0" w:line="240" w:lineRule="auto"/>
              <w:jc w:val="center"/>
              <w:rPr>
                <w:rFonts w:eastAsia="Times New Roman"/>
                <w:b/>
                <w:bCs/>
                <w:color w:val="auto"/>
                <w:spacing w:val="0"/>
                <w:lang w:val="es-DO"/>
              </w:rPr>
            </w:pPr>
            <w:r w:rsidRPr="00870AD0">
              <w:rPr>
                <w:rFonts w:eastAsia="Times New Roman"/>
                <w:b/>
                <w:bCs/>
                <w:color w:val="auto"/>
                <w:spacing w:val="0"/>
                <w:lang w:val="es-DO"/>
              </w:rPr>
              <w:t>Agrupaciones</w:t>
            </w:r>
          </w:p>
        </w:tc>
        <w:tc>
          <w:tcPr>
            <w:tcW w:w="1800" w:type="dxa"/>
            <w:tcBorders>
              <w:top w:val="single" w:sz="4" w:space="0" w:color="auto"/>
              <w:left w:val="nil"/>
              <w:bottom w:val="single" w:sz="4" w:space="0" w:color="auto"/>
              <w:right w:val="single" w:sz="4" w:space="0" w:color="auto"/>
            </w:tcBorders>
            <w:shd w:val="clear" w:color="000000" w:fill="142F62"/>
            <w:noWrap/>
            <w:vAlign w:val="center"/>
            <w:hideMark/>
          </w:tcPr>
          <w:p w14:paraId="49D9F863" w14:textId="77777777" w:rsidR="00870AD0" w:rsidRPr="00870AD0" w:rsidRDefault="00870AD0" w:rsidP="00870AD0">
            <w:pPr>
              <w:spacing w:after="0" w:line="240" w:lineRule="auto"/>
              <w:jc w:val="center"/>
              <w:rPr>
                <w:rFonts w:eastAsia="Times New Roman"/>
                <w:b/>
                <w:bCs/>
                <w:color w:val="auto"/>
                <w:spacing w:val="0"/>
                <w:lang w:val="es-DO"/>
              </w:rPr>
            </w:pPr>
            <w:r w:rsidRPr="00870AD0">
              <w:rPr>
                <w:rFonts w:eastAsia="Times New Roman"/>
                <w:b/>
                <w:bCs/>
                <w:color w:val="auto"/>
                <w:spacing w:val="0"/>
                <w:lang w:val="es-DO"/>
              </w:rPr>
              <w:t>Pres. Inicial</w:t>
            </w:r>
          </w:p>
        </w:tc>
      </w:tr>
      <w:tr w:rsidR="00310D52" w:rsidRPr="00870AD0" w14:paraId="025159EE"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7D8589"/>
            <w:noWrap/>
            <w:vAlign w:val="center"/>
            <w:hideMark/>
          </w:tcPr>
          <w:p w14:paraId="00D776DB" w14:textId="77777777" w:rsidR="00870AD0" w:rsidRPr="00870AD0" w:rsidRDefault="00870AD0" w:rsidP="00870AD0">
            <w:pPr>
              <w:spacing w:after="0" w:line="240" w:lineRule="auto"/>
              <w:rPr>
                <w:rFonts w:eastAsia="Times New Roman"/>
                <w:b/>
                <w:bCs/>
                <w:color w:val="FFFFFF" w:themeColor="background1"/>
                <w:spacing w:val="0"/>
                <w:lang w:val="es-DO"/>
              </w:rPr>
            </w:pPr>
            <w:r w:rsidRPr="00870AD0">
              <w:rPr>
                <w:rFonts w:eastAsia="Times New Roman"/>
                <w:b/>
                <w:bCs/>
                <w:color w:val="FFFFFF" w:themeColor="background1"/>
                <w:spacing w:val="0"/>
                <w:lang w:val="es-DO"/>
              </w:rPr>
              <w:t>Total, General</w:t>
            </w:r>
          </w:p>
        </w:tc>
        <w:tc>
          <w:tcPr>
            <w:tcW w:w="1800" w:type="dxa"/>
            <w:tcBorders>
              <w:top w:val="nil"/>
              <w:left w:val="nil"/>
              <w:bottom w:val="single" w:sz="4" w:space="0" w:color="auto"/>
              <w:right w:val="single" w:sz="4" w:space="0" w:color="auto"/>
            </w:tcBorders>
            <w:shd w:val="clear" w:color="000000" w:fill="7D8589"/>
            <w:noWrap/>
            <w:vAlign w:val="center"/>
            <w:hideMark/>
          </w:tcPr>
          <w:p w14:paraId="64F767AE" w14:textId="77777777" w:rsidR="00870AD0" w:rsidRPr="00870AD0" w:rsidRDefault="00870AD0" w:rsidP="00870AD0">
            <w:pPr>
              <w:spacing w:after="0" w:line="240" w:lineRule="auto"/>
              <w:jc w:val="right"/>
              <w:rPr>
                <w:rFonts w:eastAsia="Times New Roman"/>
                <w:b/>
                <w:bCs/>
                <w:color w:val="FFFFFF" w:themeColor="background1"/>
                <w:spacing w:val="0"/>
                <w:lang w:val="es-DO"/>
              </w:rPr>
            </w:pPr>
            <w:r w:rsidRPr="00870AD0">
              <w:rPr>
                <w:rFonts w:eastAsia="Times New Roman"/>
                <w:b/>
                <w:bCs/>
                <w:color w:val="FFFFFF" w:themeColor="background1"/>
                <w:spacing w:val="0"/>
                <w:lang w:val="es-DO"/>
              </w:rPr>
              <w:t>7,256,831,790.00</w:t>
            </w:r>
          </w:p>
        </w:tc>
      </w:tr>
      <w:tr w:rsidR="00310D52" w:rsidRPr="00870AD0" w14:paraId="57CE5130"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FFFFFF"/>
            <w:noWrap/>
            <w:vAlign w:val="center"/>
            <w:hideMark/>
          </w:tcPr>
          <w:p w14:paraId="05F3A4A1" w14:textId="77777777" w:rsidR="00870AD0" w:rsidRPr="00870AD0" w:rsidRDefault="00870AD0" w:rsidP="005B1419">
            <w:pPr>
              <w:spacing w:after="0" w:line="240" w:lineRule="auto"/>
              <w:jc w:val="both"/>
              <w:rPr>
                <w:rFonts w:eastAsia="Times New Roman"/>
                <w:spacing w:val="0"/>
                <w:lang w:val="es-DO"/>
              </w:rPr>
            </w:pPr>
            <w:r w:rsidRPr="00870AD0">
              <w:rPr>
                <w:rFonts w:eastAsia="Times New Roman"/>
                <w:spacing w:val="0"/>
                <w:lang w:val="es-DO"/>
              </w:rPr>
              <w:t>2.1-Remuneraciones Y Contribuciones</w:t>
            </w:r>
          </w:p>
        </w:tc>
        <w:tc>
          <w:tcPr>
            <w:tcW w:w="1800" w:type="dxa"/>
            <w:tcBorders>
              <w:top w:val="nil"/>
              <w:left w:val="nil"/>
              <w:bottom w:val="single" w:sz="4" w:space="0" w:color="auto"/>
              <w:right w:val="single" w:sz="4" w:space="0" w:color="auto"/>
            </w:tcBorders>
            <w:shd w:val="clear" w:color="000000" w:fill="FFFFFF"/>
            <w:noWrap/>
            <w:vAlign w:val="center"/>
            <w:hideMark/>
          </w:tcPr>
          <w:p w14:paraId="6EFF6B8F" w14:textId="77777777" w:rsidR="00870AD0" w:rsidRPr="00870AD0" w:rsidRDefault="00870AD0" w:rsidP="00870AD0">
            <w:pPr>
              <w:spacing w:after="0" w:line="240" w:lineRule="auto"/>
              <w:jc w:val="right"/>
              <w:rPr>
                <w:rFonts w:eastAsia="Times New Roman"/>
                <w:spacing w:val="0"/>
                <w:lang w:val="es-DO"/>
              </w:rPr>
            </w:pPr>
            <w:r w:rsidRPr="00870AD0">
              <w:rPr>
                <w:rFonts w:eastAsia="Times New Roman"/>
                <w:spacing w:val="0"/>
                <w:lang w:val="es-DO"/>
              </w:rPr>
              <w:t>5,020,714,334.00</w:t>
            </w:r>
          </w:p>
        </w:tc>
      </w:tr>
      <w:tr w:rsidR="00310D52" w:rsidRPr="00870AD0" w14:paraId="4B3B9878"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FFFFFF"/>
            <w:noWrap/>
            <w:vAlign w:val="center"/>
            <w:hideMark/>
          </w:tcPr>
          <w:p w14:paraId="210D7FEC" w14:textId="77777777" w:rsidR="00870AD0" w:rsidRPr="00870AD0" w:rsidRDefault="00870AD0" w:rsidP="005B1419">
            <w:pPr>
              <w:spacing w:after="0" w:line="240" w:lineRule="auto"/>
              <w:jc w:val="both"/>
              <w:rPr>
                <w:rFonts w:eastAsia="Times New Roman"/>
                <w:spacing w:val="0"/>
                <w:lang w:val="es-DO"/>
              </w:rPr>
            </w:pPr>
            <w:r w:rsidRPr="00870AD0">
              <w:rPr>
                <w:rFonts w:eastAsia="Times New Roman"/>
                <w:spacing w:val="0"/>
                <w:lang w:val="es-DO"/>
              </w:rPr>
              <w:t>2.2-Contratación De Servicios</w:t>
            </w:r>
          </w:p>
        </w:tc>
        <w:tc>
          <w:tcPr>
            <w:tcW w:w="1800" w:type="dxa"/>
            <w:tcBorders>
              <w:top w:val="nil"/>
              <w:left w:val="nil"/>
              <w:bottom w:val="single" w:sz="4" w:space="0" w:color="auto"/>
              <w:right w:val="single" w:sz="4" w:space="0" w:color="auto"/>
            </w:tcBorders>
            <w:shd w:val="clear" w:color="000000" w:fill="FFFFFF"/>
            <w:noWrap/>
            <w:vAlign w:val="center"/>
            <w:hideMark/>
          </w:tcPr>
          <w:p w14:paraId="1DF14047" w14:textId="77777777" w:rsidR="00870AD0" w:rsidRPr="00870AD0" w:rsidRDefault="00870AD0" w:rsidP="00870AD0">
            <w:pPr>
              <w:spacing w:after="0" w:line="240" w:lineRule="auto"/>
              <w:jc w:val="right"/>
              <w:rPr>
                <w:rFonts w:eastAsia="Times New Roman"/>
                <w:spacing w:val="0"/>
                <w:lang w:val="es-DO"/>
              </w:rPr>
            </w:pPr>
            <w:r w:rsidRPr="00870AD0">
              <w:rPr>
                <w:rFonts w:eastAsia="Times New Roman"/>
                <w:spacing w:val="0"/>
                <w:lang w:val="es-DO"/>
              </w:rPr>
              <w:t>1,322,019,695.00</w:t>
            </w:r>
          </w:p>
        </w:tc>
      </w:tr>
      <w:tr w:rsidR="00310D52" w:rsidRPr="00870AD0" w14:paraId="7B291B30"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FFFFFF"/>
            <w:noWrap/>
            <w:vAlign w:val="center"/>
            <w:hideMark/>
          </w:tcPr>
          <w:p w14:paraId="485501AB" w14:textId="77777777" w:rsidR="00870AD0" w:rsidRPr="00870AD0" w:rsidRDefault="00870AD0" w:rsidP="005B1419">
            <w:pPr>
              <w:spacing w:after="0" w:line="240" w:lineRule="auto"/>
              <w:jc w:val="both"/>
              <w:rPr>
                <w:rFonts w:eastAsia="Times New Roman"/>
                <w:spacing w:val="0"/>
                <w:lang w:val="es-DO"/>
              </w:rPr>
            </w:pPr>
            <w:r w:rsidRPr="00870AD0">
              <w:rPr>
                <w:rFonts w:eastAsia="Times New Roman"/>
                <w:spacing w:val="0"/>
                <w:lang w:val="es-DO"/>
              </w:rPr>
              <w:t>2.3-Materiales Y Suministros</w:t>
            </w:r>
          </w:p>
        </w:tc>
        <w:tc>
          <w:tcPr>
            <w:tcW w:w="1800" w:type="dxa"/>
            <w:tcBorders>
              <w:top w:val="nil"/>
              <w:left w:val="nil"/>
              <w:bottom w:val="single" w:sz="4" w:space="0" w:color="auto"/>
              <w:right w:val="single" w:sz="4" w:space="0" w:color="auto"/>
            </w:tcBorders>
            <w:shd w:val="clear" w:color="000000" w:fill="FFFFFF"/>
            <w:noWrap/>
            <w:vAlign w:val="center"/>
            <w:hideMark/>
          </w:tcPr>
          <w:p w14:paraId="002DE14E" w14:textId="77777777" w:rsidR="00870AD0" w:rsidRPr="00870AD0" w:rsidRDefault="00870AD0" w:rsidP="00870AD0">
            <w:pPr>
              <w:spacing w:after="0" w:line="240" w:lineRule="auto"/>
              <w:jc w:val="right"/>
              <w:rPr>
                <w:rFonts w:eastAsia="Times New Roman"/>
                <w:spacing w:val="0"/>
                <w:lang w:val="es-DO"/>
              </w:rPr>
            </w:pPr>
            <w:r w:rsidRPr="00870AD0">
              <w:rPr>
                <w:rFonts w:eastAsia="Times New Roman"/>
                <w:spacing w:val="0"/>
                <w:lang w:val="es-DO"/>
              </w:rPr>
              <w:t>240,517,792.00</w:t>
            </w:r>
          </w:p>
        </w:tc>
      </w:tr>
      <w:tr w:rsidR="00310D52" w:rsidRPr="00870AD0" w14:paraId="35DCA792"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FFFFFF"/>
            <w:vAlign w:val="center"/>
            <w:hideMark/>
          </w:tcPr>
          <w:p w14:paraId="730506EF" w14:textId="77FE6D3D" w:rsidR="00870AD0" w:rsidRPr="00870AD0" w:rsidRDefault="00870AD0" w:rsidP="005B1419">
            <w:pPr>
              <w:spacing w:after="0" w:line="240" w:lineRule="auto"/>
              <w:jc w:val="both"/>
              <w:rPr>
                <w:rFonts w:eastAsia="Times New Roman"/>
                <w:spacing w:val="0"/>
                <w:lang w:val="es-DO"/>
              </w:rPr>
            </w:pPr>
            <w:r w:rsidRPr="00870AD0">
              <w:rPr>
                <w:rFonts w:eastAsia="Times New Roman"/>
                <w:spacing w:val="0"/>
                <w:lang w:val="es-DO"/>
              </w:rPr>
              <w:t xml:space="preserve">2.6-Bienes Muebles, Inmuebles </w:t>
            </w:r>
            <w:r w:rsidR="005B1419" w:rsidRPr="00310D52">
              <w:rPr>
                <w:rFonts w:eastAsia="Times New Roman"/>
                <w:spacing w:val="0"/>
                <w:lang w:val="es-DO"/>
              </w:rPr>
              <w:t>e</w:t>
            </w:r>
            <w:r w:rsidRPr="00870AD0">
              <w:rPr>
                <w:rFonts w:eastAsia="Times New Roman"/>
                <w:spacing w:val="0"/>
                <w:lang w:val="es-DO"/>
              </w:rPr>
              <w:t xml:space="preserve"> Intangibles</w:t>
            </w:r>
          </w:p>
        </w:tc>
        <w:tc>
          <w:tcPr>
            <w:tcW w:w="1800" w:type="dxa"/>
            <w:tcBorders>
              <w:top w:val="nil"/>
              <w:left w:val="nil"/>
              <w:bottom w:val="single" w:sz="4" w:space="0" w:color="auto"/>
              <w:right w:val="single" w:sz="4" w:space="0" w:color="auto"/>
            </w:tcBorders>
            <w:shd w:val="clear" w:color="000000" w:fill="FFFFFF"/>
            <w:noWrap/>
            <w:vAlign w:val="center"/>
            <w:hideMark/>
          </w:tcPr>
          <w:p w14:paraId="22E7E8DA" w14:textId="77777777" w:rsidR="00870AD0" w:rsidRPr="00870AD0" w:rsidRDefault="00870AD0" w:rsidP="00870AD0">
            <w:pPr>
              <w:spacing w:after="0" w:line="240" w:lineRule="auto"/>
              <w:jc w:val="right"/>
              <w:rPr>
                <w:rFonts w:eastAsia="Times New Roman"/>
                <w:spacing w:val="0"/>
                <w:lang w:val="es-DO"/>
              </w:rPr>
            </w:pPr>
            <w:r w:rsidRPr="00870AD0">
              <w:rPr>
                <w:rFonts w:eastAsia="Times New Roman"/>
                <w:spacing w:val="0"/>
                <w:lang w:val="es-DO"/>
              </w:rPr>
              <w:t>215,068,308.00</w:t>
            </w:r>
          </w:p>
        </w:tc>
      </w:tr>
      <w:tr w:rsidR="00310D52" w:rsidRPr="00870AD0" w14:paraId="5D0A9F77" w14:textId="77777777" w:rsidTr="00870AD0">
        <w:trPr>
          <w:trHeight w:val="315"/>
        </w:trPr>
        <w:tc>
          <w:tcPr>
            <w:tcW w:w="4480" w:type="dxa"/>
            <w:tcBorders>
              <w:top w:val="nil"/>
              <w:left w:val="single" w:sz="4" w:space="0" w:color="auto"/>
              <w:bottom w:val="single" w:sz="4" w:space="0" w:color="auto"/>
              <w:right w:val="single" w:sz="4" w:space="0" w:color="auto"/>
            </w:tcBorders>
            <w:shd w:val="clear" w:color="000000" w:fill="FFFFFF"/>
            <w:noWrap/>
            <w:vAlign w:val="center"/>
            <w:hideMark/>
          </w:tcPr>
          <w:p w14:paraId="6D15649A" w14:textId="77777777" w:rsidR="00870AD0" w:rsidRPr="00870AD0" w:rsidRDefault="00870AD0" w:rsidP="005B1419">
            <w:pPr>
              <w:spacing w:after="0" w:line="240" w:lineRule="auto"/>
              <w:jc w:val="both"/>
              <w:rPr>
                <w:rFonts w:eastAsia="Times New Roman"/>
                <w:spacing w:val="0"/>
                <w:lang w:val="es-DO"/>
              </w:rPr>
            </w:pPr>
            <w:r w:rsidRPr="00870AD0">
              <w:rPr>
                <w:rFonts w:eastAsia="Times New Roman"/>
                <w:spacing w:val="0"/>
                <w:lang w:val="es-DO"/>
              </w:rPr>
              <w:t>2.7- Obras</w:t>
            </w:r>
          </w:p>
        </w:tc>
        <w:tc>
          <w:tcPr>
            <w:tcW w:w="1800" w:type="dxa"/>
            <w:tcBorders>
              <w:top w:val="nil"/>
              <w:left w:val="nil"/>
              <w:bottom w:val="single" w:sz="4" w:space="0" w:color="auto"/>
              <w:right w:val="single" w:sz="4" w:space="0" w:color="auto"/>
            </w:tcBorders>
            <w:shd w:val="clear" w:color="000000" w:fill="FFFFFF"/>
            <w:noWrap/>
            <w:vAlign w:val="center"/>
            <w:hideMark/>
          </w:tcPr>
          <w:p w14:paraId="68C15C9B" w14:textId="77777777" w:rsidR="00870AD0" w:rsidRPr="00870AD0" w:rsidRDefault="00870AD0" w:rsidP="00870AD0">
            <w:pPr>
              <w:spacing w:after="0" w:line="240" w:lineRule="auto"/>
              <w:jc w:val="right"/>
              <w:rPr>
                <w:rFonts w:eastAsia="Times New Roman"/>
                <w:spacing w:val="0"/>
                <w:lang w:val="es-DO"/>
              </w:rPr>
            </w:pPr>
            <w:r w:rsidRPr="00870AD0">
              <w:rPr>
                <w:rFonts w:eastAsia="Times New Roman"/>
                <w:spacing w:val="0"/>
                <w:lang w:val="es-DO"/>
              </w:rPr>
              <w:t>458,511,661.00</w:t>
            </w:r>
          </w:p>
        </w:tc>
      </w:tr>
    </w:tbl>
    <w:p w14:paraId="1F935A30" w14:textId="7482959C" w:rsidR="005C3D4D" w:rsidRPr="00310D52" w:rsidRDefault="005C3D4D" w:rsidP="005C3D4D">
      <w:pPr>
        <w:spacing w:line="360" w:lineRule="auto"/>
        <w:jc w:val="both"/>
        <w:rPr>
          <w:rFonts w:eastAsia="Calibri"/>
          <w:i/>
          <w:iCs/>
          <w:noProof/>
          <w:sz w:val="18"/>
          <w:szCs w:val="18"/>
          <w:lang w:val="es-DO"/>
        </w:rPr>
      </w:pPr>
      <w:r w:rsidRPr="00310D52">
        <w:rPr>
          <w:rFonts w:eastAsia="Calibri"/>
          <w:i/>
          <w:iCs/>
          <w:noProof/>
          <w:sz w:val="18"/>
          <w:szCs w:val="18"/>
          <w:lang w:val="es-DO"/>
        </w:rPr>
        <w:t>Fuente: Elaboración propia en base a reporte SIGEF</w:t>
      </w:r>
    </w:p>
    <w:p w14:paraId="21C9B0A3" w14:textId="6237945C" w:rsidR="005C3D4D" w:rsidRPr="00310D52" w:rsidRDefault="005C3D4D" w:rsidP="005C3D4D">
      <w:pPr>
        <w:spacing w:line="360" w:lineRule="auto"/>
        <w:jc w:val="both"/>
        <w:rPr>
          <w:rFonts w:eastAsia="Calibri"/>
          <w:noProof/>
          <w:lang w:val="es-DO"/>
        </w:rPr>
      </w:pPr>
      <w:r w:rsidRPr="00310D52">
        <w:rPr>
          <w:rFonts w:eastAsia="Calibri"/>
          <w:noProof/>
          <w:lang w:val="es-DO"/>
        </w:rPr>
        <w:t>Durante el transcurso del año se realizaron modificaciones presupuestarias de aumento por RD$2,189,052,640.37 de los cuales RD$1,150,000,000.00 fueron aprobados para la incorporación al sistema de 120 ambulancias donados por el Gobierno de China y RD$1,039,052,640.37 provienen de saldos de años anteriores para cubrir los contratos ya vigentes contraídos en la institución. Con estas modificaciones, el presupuesto vigente al 30 de noviembre del año 2025 asciende a RD$9,445,884,430.37.</w:t>
      </w:r>
    </w:p>
    <w:p w14:paraId="0C6FF494" w14:textId="77777777" w:rsidR="00E334A5" w:rsidRPr="00310D52" w:rsidRDefault="00E334A5" w:rsidP="005C3D4D">
      <w:pPr>
        <w:spacing w:line="360" w:lineRule="auto"/>
        <w:jc w:val="both"/>
        <w:rPr>
          <w:rFonts w:eastAsia="Calibri"/>
          <w:noProof/>
          <w:lang w:val="es-DO"/>
        </w:rPr>
      </w:pPr>
    </w:p>
    <w:p w14:paraId="003801F1" w14:textId="1A8DC68A" w:rsidR="005C3D4D" w:rsidRPr="00310D52" w:rsidRDefault="005C3D4D" w:rsidP="005C3D4D">
      <w:pPr>
        <w:spacing w:line="360" w:lineRule="auto"/>
        <w:jc w:val="both"/>
        <w:rPr>
          <w:rFonts w:eastAsia="Calibri"/>
          <w:b/>
          <w:bCs/>
          <w:noProof/>
          <w:lang w:val="es-DO"/>
        </w:rPr>
      </w:pPr>
      <w:r w:rsidRPr="00310D52">
        <w:rPr>
          <w:rFonts w:eastAsia="Calibri"/>
          <w:b/>
          <w:bCs/>
          <w:noProof/>
          <w:lang w:val="es-DO"/>
        </w:rPr>
        <w:lastRenderedPageBreak/>
        <w:t>Ejecución Presupuestaria</w:t>
      </w:r>
    </w:p>
    <w:p w14:paraId="7F1DED5C" w14:textId="780265C8" w:rsidR="005C3D4D" w:rsidRPr="00310D52" w:rsidRDefault="005C3D4D" w:rsidP="005C3D4D">
      <w:pPr>
        <w:spacing w:line="360" w:lineRule="auto"/>
        <w:jc w:val="both"/>
        <w:rPr>
          <w:rFonts w:eastAsia="Calibri"/>
          <w:noProof/>
          <w:lang w:val="es-DO"/>
        </w:rPr>
      </w:pPr>
      <w:r w:rsidRPr="00310D52">
        <w:rPr>
          <w:rFonts w:eastAsia="Calibri"/>
          <w:noProof/>
          <w:lang w:val="es-DO"/>
        </w:rPr>
        <w:t>Durante el período Enero-Noviembre del año 2025, la DAEH tuvo un cumplimiento presupuestario de RD$7,108,568,714.97 lo que representa un 97.96% de ejecución del presupuesto del año.</w:t>
      </w:r>
      <w:r w:rsidR="00E334A5" w:rsidRPr="00310D52">
        <w:rPr>
          <w:rFonts w:eastAsia="Calibri"/>
          <w:noProof/>
          <w:lang w:val="es-DO"/>
        </w:rPr>
        <w:t xml:space="preserve"> </w:t>
      </w:r>
      <w:r w:rsidRPr="00310D52">
        <w:rPr>
          <w:rFonts w:eastAsia="Calibri"/>
          <w:noProof/>
          <w:lang w:val="es-DO"/>
        </w:rPr>
        <w:t>El 67.29% de ejecución se destinó al pago de remuneración y contribuciones, lo que se refleja en la contratación de nuevo personal asistencia</w:t>
      </w:r>
      <w:r w:rsidR="00993F0B" w:rsidRPr="00310D52">
        <w:rPr>
          <w:rFonts w:eastAsia="Calibri"/>
          <w:noProof/>
          <w:lang w:val="es-DO"/>
        </w:rPr>
        <w:t>l</w:t>
      </w:r>
      <w:r w:rsidRPr="00310D52">
        <w:rPr>
          <w:rFonts w:eastAsia="Calibri"/>
          <w:noProof/>
          <w:lang w:val="es-DO"/>
        </w:rPr>
        <w:t xml:space="preserve"> y administrativo para la incorporación de 120 ambulancias</w:t>
      </w:r>
      <w:r w:rsidR="0098786B" w:rsidRPr="00310D52">
        <w:rPr>
          <w:rFonts w:eastAsia="Calibri"/>
          <w:noProof/>
          <w:lang w:val="es-DO"/>
        </w:rPr>
        <w:t>.</w:t>
      </w:r>
    </w:p>
    <w:p w14:paraId="188569DE" w14:textId="70408279" w:rsidR="005C3D4D" w:rsidRPr="00310D52" w:rsidRDefault="005C3D4D" w:rsidP="005C3D4D">
      <w:pPr>
        <w:spacing w:line="360" w:lineRule="auto"/>
        <w:jc w:val="both"/>
        <w:rPr>
          <w:rFonts w:eastAsia="Calibri"/>
          <w:noProof/>
          <w:lang w:val="es-DO"/>
        </w:rPr>
      </w:pPr>
      <w:r w:rsidRPr="00310D52">
        <w:rPr>
          <w:rFonts w:eastAsia="Calibri"/>
          <w:noProof/>
          <w:lang w:val="es-DO"/>
        </w:rPr>
        <w:t>Al renglón de contrataciones de servicios le corresponde un 23.84% para el servicio de mantenimiento y reparaciones de ambulancias, alquiler de 143 ambulancias, seguros de vehículos, vida y funerario, además de las oficinas donde funcionan los Centros de Regulación de Urgencias y Emergencias (CRUE).</w:t>
      </w:r>
      <w:r w:rsidR="00E334A5" w:rsidRPr="00310D52">
        <w:rPr>
          <w:rFonts w:eastAsia="Calibri"/>
          <w:noProof/>
          <w:lang w:val="es-DO"/>
        </w:rPr>
        <w:t xml:space="preserve"> </w:t>
      </w:r>
      <w:r w:rsidRPr="00310D52">
        <w:rPr>
          <w:rFonts w:eastAsia="Calibri"/>
          <w:noProof/>
          <w:lang w:val="es-DO"/>
        </w:rPr>
        <w:t xml:space="preserve">El 8.87% restante se destinó a la adquisición de uniformes para todos los colaboradores de la DAEH, combustible para la flotilla vehicular de la institución, medicamentos, insumos y equipos médicos, además de la adquisición de 14 vehículos para el fortalecimiento del proceso de coordinación, operatividad y regulación a nivel nacional de los CRUE y 40 Motores para el fortalecimiento de las operaciones de las Unidades de Respuesta Rápida del </w:t>
      </w:r>
      <w:r w:rsidR="00E334A5" w:rsidRPr="00310D52">
        <w:rPr>
          <w:rFonts w:eastAsia="Calibri"/>
          <w:noProof/>
          <w:lang w:val="es-DO"/>
        </w:rPr>
        <w:t>Gran Santo Domingo.</w:t>
      </w:r>
    </w:p>
    <w:p w14:paraId="7C96D69A" w14:textId="060BEA7C" w:rsidR="00E334A5" w:rsidRPr="00310D52" w:rsidRDefault="00E334A5" w:rsidP="005C3D4D">
      <w:pPr>
        <w:spacing w:line="360" w:lineRule="auto"/>
        <w:jc w:val="both"/>
        <w:rPr>
          <w:rFonts w:eastAsia="Calibri"/>
          <w:b/>
          <w:bCs/>
          <w:noProof/>
          <w:lang w:val="es-DO"/>
        </w:rPr>
      </w:pPr>
      <w:r w:rsidRPr="00310D52">
        <w:rPr>
          <w:rFonts w:eastAsia="Calibri"/>
          <w:b/>
          <w:bCs/>
          <w:noProof/>
          <w:lang w:val="es-DO"/>
        </w:rPr>
        <w:t>Presupuesto Ejecutado Enero-Noviembre Año 2025 por Objeto del Gasto (RD$)</w:t>
      </w:r>
    </w:p>
    <w:p w14:paraId="18961A1E" w14:textId="02FF8D5E" w:rsidR="00E334A5" w:rsidRPr="00310D52" w:rsidRDefault="0098786B" w:rsidP="00E334A5">
      <w:pPr>
        <w:spacing w:after="0" w:line="360" w:lineRule="auto"/>
        <w:jc w:val="both"/>
        <w:rPr>
          <w:rFonts w:eastAsia="Calibri"/>
          <w:noProof/>
          <w:lang w:val="es-DO"/>
        </w:rPr>
      </w:pPr>
      <w:r w:rsidRPr="00310D52">
        <w:rPr>
          <w:rFonts w:eastAsia="Calibri"/>
          <w:noProof/>
          <w:lang w:val="es-DO"/>
        </w:rPr>
        <w:object w:dxaOrig="6678" w:dyaOrig="1849" w14:anchorId="1B68024F">
          <v:shape id="_x0000_i1028" type="#_x0000_t75" style="width:276pt;height:76.5pt" o:ole="">
            <v:imagedata r:id="rId22" o:title=""/>
          </v:shape>
          <o:OLEObject Type="Embed" ProgID="Excel.Sheet.12" ShapeID="_x0000_i1028" DrawAspect="Content" ObjectID="_1832144368" r:id="rId23"/>
        </w:object>
      </w:r>
      <w:r w:rsidR="00E334A5" w:rsidRPr="00310D52">
        <w:rPr>
          <w:rFonts w:eastAsia="Calibri"/>
          <w:noProof/>
          <w:lang w:val="es-DO"/>
        </w:rPr>
        <w:t xml:space="preserve"> </w:t>
      </w:r>
    </w:p>
    <w:p w14:paraId="2C0F5A6A" w14:textId="4C1D3C10" w:rsidR="00E334A5" w:rsidRPr="00310D52" w:rsidRDefault="00E334A5" w:rsidP="00E334A5">
      <w:pPr>
        <w:spacing w:after="0" w:line="360" w:lineRule="auto"/>
        <w:jc w:val="both"/>
        <w:rPr>
          <w:rFonts w:eastAsia="Calibri"/>
          <w:i/>
          <w:iCs/>
          <w:noProof/>
          <w:sz w:val="18"/>
          <w:szCs w:val="18"/>
          <w:lang w:val="es-DO"/>
        </w:rPr>
      </w:pPr>
      <w:r w:rsidRPr="00310D52">
        <w:rPr>
          <w:rFonts w:eastAsia="Calibri"/>
          <w:i/>
          <w:iCs/>
          <w:noProof/>
          <w:sz w:val="18"/>
          <w:szCs w:val="18"/>
          <w:lang w:val="es-DO"/>
        </w:rPr>
        <w:t>Fuente: Elaboración propia en base a reporte SIGEF</w:t>
      </w:r>
    </w:p>
    <w:p w14:paraId="26712B11" w14:textId="76DFE81A" w:rsidR="0098786B" w:rsidRPr="00310D52" w:rsidRDefault="0098786B" w:rsidP="005C3D4D">
      <w:pPr>
        <w:spacing w:line="360" w:lineRule="auto"/>
        <w:jc w:val="both"/>
        <w:rPr>
          <w:rFonts w:eastAsia="Calibri"/>
          <w:noProof/>
          <w:lang w:val="es-DO"/>
        </w:rPr>
      </w:pPr>
      <w:r w:rsidRPr="00310D52">
        <w:rPr>
          <w:rFonts w:eastAsia="Calibri"/>
          <w:b/>
          <w:bCs/>
          <w:noProof/>
          <w:lang w:val="es-DO"/>
        </w:rPr>
        <w:t>Resultados Índice de Gestión Presupuestaria (IGP):</w:t>
      </w:r>
      <w:r w:rsidRPr="00310D52">
        <w:rPr>
          <w:rFonts w:eastAsia="Calibri"/>
          <w:noProof/>
          <w:lang w:val="es-DO"/>
        </w:rPr>
        <w:t xml:space="preserve"> El Indice de Gestion Presupuestaria cerramos con 94% promedio, indicando el grado la institución </w:t>
      </w:r>
      <w:r w:rsidRPr="00310D52">
        <w:rPr>
          <w:rFonts w:eastAsia="Calibri"/>
          <w:noProof/>
          <w:lang w:val="es-DO"/>
        </w:rPr>
        <w:lastRenderedPageBreak/>
        <w:t>cumple con la mejora de los procesos de gestion eficaz , eficiente y transparente en la  vinculacion del Presupuesto y la Planificacion (metas fisicas y financieras).</w:t>
      </w:r>
    </w:p>
    <w:p w14:paraId="6E9D35DD" w14:textId="65E8938B" w:rsidR="00E334A5" w:rsidRPr="00310D52" w:rsidRDefault="00E334A5" w:rsidP="005C3D4D">
      <w:pPr>
        <w:spacing w:line="360" w:lineRule="auto"/>
        <w:jc w:val="both"/>
        <w:rPr>
          <w:rFonts w:eastAsia="Calibri"/>
          <w:b/>
          <w:bCs/>
          <w:noProof/>
          <w:lang w:val="es-DO"/>
        </w:rPr>
      </w:pPr>
      <w:r w:rsidRPr="00310D52">
        <w:rPr>
          <w:rFonts w:eastAsia="Calibri"/>
          <w:b/>
          <w:bCs/>
          <w:noProof/>
          <w:lang w:val="es-DO"/>
        </w:rPr>
        <w:t>Deudas por Pagar</w:t>
      </w:r>
    </w:p>
    <w:p w14:paraId="3037B336" w14:textId="6AC636C5" w:rsidR="00E334A5" w:rsidRPr="00310D52" w:rsidRDefault="00E334A5" w:rsidP="005C3D4D">
      <w:pPr>
        <w:spacing w:line="360" w:lineRule="auto"/>
        <w:jc w:val="both"/>
        <w:rPr>
          <w:rFonts w:eastAsia="Calibri"/>
          <w:noProof/>
          <w:lang w:val="es-DO"/>
        </w:rPr>
      </w:pPr>
      <w:r w:rsidRPr="00310D52">
        <w:rPr>
          <w:rFonts w:eastAsia="Calibri"/>
          <w:noProof/>
          <w:lang w:val="es-DO"/>
        </w:rPr>
        <w:t>Durante este período Enero-Noviembre 2025, la deuda de la DAEH asciende a un monto de</w:t>
      </w:r>
      <w:r w:rsidRPr="00310D52">
        <w:rPr>
          <w:rFonts w:eastAsia="Calibri"/>
          <w:b/>
          <w:bCs/>
          <w:noProof/>
          <w:lang w:val="es-DO"/>
        </w:rPr>
        <w:t xml:space="preserve"> </w:t>
      </w:r>
      <w:r w:rsidRPr="00310D52">
        <w:rPr>
          <w:rFonts w:eastAsia="Calibri"/>
          <w:noProof/>
          <w:lang w:val="es-DO"/>
        </w:rPr>
        <w:t>RD$104,553,319.36, contraídas en bienes y servicios detallados (ver cuadro), cabe destacar que todas cuentan con su apropiación y cuota de compromiso para ser saldadas, algunas al corte del período se encuentran en proceso de pago, otras a esperas de aprobación de ADENDAS de tiempo en los contratos y otras se encuentran a esperas de soporte por parte de los proveedores.</w:t>
      </w:r>
    </w:p>
    <w:p w14:paraId="2C79CC34" w14:textId="16BE9015" w:rsidR="005B53BC" w:rsidRPr="00310D52" w:rsidRDefault="005B53BC" w:rsidP="005C3D4D">
      <w:pPr>
        <w:spacing w:line="360" w:lineRule="auto"/>
        <w:jc w:val="both"/>
        <w:rPr>
          <w:rFonts w:eastAsia="Calibri"/>
          <w:b/>
          <w:bCs/>
          <w:noProof/>
          <w:lang w:val="es-DO"/>
        </w:rPr>
      </w:pPr>
      <w:r w:rsidRPr="00310D52">
        <w:rPr>
          <w:rFonts w:eastAsia="Calibri"/>
          <w:b/>
          <w:bCs/>
          <w:noProof/>
          <w:lang w:val="es-DO"/>
        </w:rPr>
        <w:t>Deudas por Pagar DAEH, Al 30 de Noviembre del Año 2025 (RD$)</w:t>
      </w:r>
    </w:p>
    <w:p w14:paraId="0BE0876B" w14:textId="4E2689F2" w:rsidR="00E334A5" w:rsidRPr="00310D52" w:rsidRDefault="00310D52" w:rsidP="005B53BC">
      <w:pPr>
        <w:spacing w:after="0" w:line="360" w:lineRule="auto"/>
        <w:jc w:val="both"/>
        <w:rPr>
          <w:rFonts w:eastAsia="Calibri"/>
          <w:noProof/>
          <w:lang w:val="es-DO"/>
        </w:rPr>
      </w:pPr>
      <w:r w:rsidRPr="00310D52">
        <w:rPr>
          <w:rFonts w:eastAsia="Calibri"/>
          <w:noProof/>
          <w:lang w:val="es-DO"/>
        </w:rPr>
        <w:object w:dxaOrig="6759" w:dyaOrig="9776" w14:anchorId="71E22F48">
          <v:shape id="_x0000_i1029" type="#_x0000_t75" style="width:333pt;height:327pt" o:ole="">
            <v:imagedata r:id="rId24" o:title=""/>
          </v:shape>
          <o:OLEObject Type="Embed" ProgID="Excel.Sheet.12" ShapeID="_x0000_i1029" DrawAspect="Content" ObjectID="_1832144369" r:id="rId25"/>
        </w:object>
      </w:r>
    </w:p>
    <w:p w14:paraId="46EEF75C" w14:textId="3558F902" w:rsidR="005B53BC" w:rsidRPr="00310D52" w:rsidRDefault="005B53BC" w:rsidP="005B53BC">
      <w:pPr>
        <w:spacing w:after="0" w:line="360" w:lineRule="auto"/>
        <w:jc w:val="both"/>
        <w:rPr>
          <w:rFonts w:eastAsia="Calibri"/>
          <w:i/>
          <w:iCs/>
          <w:noProof/>
          <w:sz w:val="18"/>
          <w:szCs w:val="18"/>
          <w:lang w:val="es-DO"/>
        </w:rPr>
      </w:pPr>
      <w:r w:rsidRPr="00310D52">
        <w:rPr>
          <w:rFonts w:eastAsia="Calibri"/>
          <w:i/>
          <w:iCs/>
          <w:noProof/>
          <w:sz w:val="18"/>
          <w:szCs w:val="18"/>
          <w:lang w:val="es-DO"/>
        </w:rPr>
        <w:t>Fuente: Elaboración propia en base a las informaciones del División Financiera de la DAEH.</w:t>
      </w:r>
    </w:p>
    <w:p w14:paraId="317B4BAE" w14:textId="5603A04C" w:rsidR="00E334A5" w:rsidRPr="00310D52" w:rsidRDefault="005B53BC" w:rsidP="005C3D4D">
      <w:pPr>
        <w:spacing w:line="360" w:lineRule="auto"/>
        <w:jc w:val="both"/>
        <w:rPr>
          <w:rFonts w:eastAsia="Calibri"/>
          <w:b/>
          <w:bCs/>
          <w:noProof/>
          <w:lang w:val="es-DO"/>
        </w:rPr>
      </w:pPr>
      <w:r w:rsidRPr="00310D52">
        <w:rPr>
          <w:rFonts w:eastAsia="Calibri"/>
          <w:b/>
          <w:bCs/>
          <w:noProof/>
          <w:lang w:val="es-DO"/>
        </w:rPr>
        <w:lastRenderedPageBreak/>
        <w:t>Compras y Contrataciones</w:t>
      </w:r>
    </w:p>
    <w:p w14:paraId="217FDBA0" w14:textId="482E86FA" w:rsidR="005B53BC" w:rsidRPr="00310D52" w:rsidRDefault="005B53BC" w:rsidP="005C3D4D">
      <w:pPr>
        <w:spacing w:line="360" w:lineRule="auto"/>
        <w:jc w:val="both"/>
        <w:rPr>
          <w:rFonts w:eastAsia="Calibri"/>
          <w:noProof/>
          <w:lang w:val="es-DO"/>
        </w:rPr>
      </w:pPr>
      <w:r w:rsidRPr="00310D52">
        <w:rPr>
          <w:rFonts w:eastAsia="Calibri"/>
          <w:noProof/>
          <w:lang w:val="es-DO"/>
        </w:rPr>
        <w:t>Para el período Enero-Noviembre del año 2025 la Dirección de Servicios de Atención a Emergencias Extrahospitalarias (DAEH), ejecutó en compras y contrataciones un monto de RD$1,785,197,829.00 de los cuales el 34.02% se destinó a la adquisición de bienes y el 65.98% a servicios.</w:t>
      </w:r>
    </w:p>
    <w:p w14:paraId="792F0383" w14:textId="065D39CD" w:rsidR="005C3D4D" w:rsidRPr="00310D52" w:rsidRDefault="005B53BC" w:rsidP="005C3D4D">
      <w:pPr>
        <w:spacing w:line="360" w:lineRule="auto"/>
        <w:jc w:val="both"/>
        <w:rPr>
          <w:rFonts w:eastAsia="Calibri"/>
          <w:b/>
          <w:bCs/>
          <w:noProof/>
          <w:lang w:val="es-DO"/>
        </w:rPr>
      </w:pPr>
      <w:r w:rsidRPr="00310D52">
        <w:rPr>
          <w:rFonts w:eastAsia="Calibri"/>
          <w:b/>
          <w:bCs/>
          <w:noProof/>
          <w:lang w:val="es-DO"/>
        </w:rPr>
        <w:t>Montos Estimados Según Objeto de Contratación</w:t>
      </w:r>
    </w:p>
    <w:p w14:paraId="66260B54" w14:textId="64A56A04" w:rsidR="005C3D4D" w:rsidRPr="00310D52" w:rsidRDefault="005B53BC" w:rsidP="005B53BC">
      <w:pPr>
        <w:spacing w:after="0" w:line="360" w:lineRule="auto"/>
        <w:jc w:val="both"/>
        <w:rPr>
          <w:rFonts w:eastAsia="Calibri"/>
          <w:noProof/>
          <w:lang w:val="es-DO"/>
        </w:rPr>
      </w:pPr>
      <w:r w:rsidRPr="00310D52">
        <w:rPr>
          <w:rFonts w:eastAsia="Calibri"/>
          <w:noProof/>
          <w:lang w:val="es-DO"/>
        </w:rPr>
        <w:object w:dxaOrig="5085" w:dyaOrig="1253" w14:anchorId="33B02E1F">
          <v:shape id="_x0000_i1030" type="#_x0000_t75" style="width:219.75pt;height:1in" o:ole="">
            <v:imagedata r:id="rId26" o:title=""/>
          </v:shape>
          <o:OLEObject Type="Embed" ProgID="Excel.Sheet.12" ShapeID="_x0000_i1030" DrawAspect="Content" ObjectID="_1832144370" r:id="rId27"/>
        </w:object>
      </w:r>
    </w:p>
    <w:p w14:paraId="738F467E" w14:textId="5A903FCA" w:rsidR="005B53BC" w:rsidRPr="00310D52" w:rsidRDefault="005B53BC" w:rsidP="005B53BC">
      <w:pPr>
        <w:spacing w:after="0" w:line="240" w:lineRule="auto"/>
        <w:jc w:val="both"/>
        <w:rPr>
          <w:rFonts w:eastAsia="Calibri"/>
          <w:i/>
          <w:iCs/>
          <w:noProof/>
          <w:sz w:val="18"/>
          <w:szCs w:val="18"/>
          <w:lang w:val="es-DO"/>
        </w:rPr>
      </w:pPr>
      <w:r w:rsidRPr="00310D52">
        <w:rPr>
          <w:rFonts w:eastAsia="Calibri"/>
          <w:i/>
          <w:iCs/>
          <w:noProof/>
          <w:sz w:val="18"/>
          <w:szCs w:val="18"/>
          <w:lang w:val="es-DO"/>
        </w:rPr>
        <w:t>Fuente: Portal Transaccional Compras y Contrataciones.</w:t>
      </w:r>
    </w:p>
    <w:p w14:paraId="7E4E71A6" w14:textId="77777777" w:rsidR="005B53BC" w:rsidRPr="00310D52" w:rsidRDefault="005B53BC" w:rsidP="005B53BC">
      <w:pPr>
        <w:spacing w:after="0" w:line="240" w:lineRule="auto"/>
        <w:jc w:val="both"/>
        <w:rPr>
          <w:rFonts w:eastAsia="Calibri"/>
          <w:noProof/>
          <w:sz w:val="18"/>
          <w:szCs w:val="18"/>
          <w:lang w:val="es-DO"/>
        </w:rPr>
      </w:pPr>
    </w:p>
    <w:p w14:paraId="1C4AF7D3" w14:textId="6E955FF6" w:rsidR="005B53BC" w:rsidRPr="00310D52" w:rsidRDefault="005B53BC" w:rsidP="005B53BC">
      <w:pPr>
        <w:spacing w:line="360" w:lineRule="auto"/>
        <w:jc w:val="both"/>
        <w:rPr>
          <w:rFonts w:eastAsia="Calibri"/>
          <w:noProof/>
          <w:lang w:val="es-DO"/>
        </w:rPr>
      </w:pPr>
      <w:r w:rsidRPr="00310D52">
        <w:rPr>
          <w:rFonts w:eastAsia="Calibri"/>
          <w:noProof/>
          <w:lang w:val="es-DO"/>
        </w:rPr>
        <w:t>De los procesos de compras ejecutados RD$339,573,730.00 fueron dirigidos a las MIPYMES y RD$124,304,024.00 a MIPYMES MUJER, para cumplir con las cuotas establecidas por la Ley 340-06 y su reglamento de aplicación. El monto de RD$1,3213,200.75 correspondió a otras empresas.</w:t>
      </w:r>
    </w:p>
    <w:p w14:paraId="58F733BD" w14:textId="26E81C3F" w:rsidR="005B53BC" w:rsidRPr="00310D52" w:rsidRDefault="00996181" w:rsidP="005C3D4D">
      <w:pPr>
        <w:spacing w:line="360" w:lineRule="auto"/>
        <w:jc w:val="both"/>
        <w:rPr>
          <w:rFonts w:eastAsia="Calibri"/>
          <w:noProof/>
          <w:lang w:val="es-DO"/>
        </w:rPr>
      </w:pPr>
      <w:r w:rsidRPr="00310D52">
        <w:rPr>
          <w:noProof/>
          <w:lang w:val="es-DO"/>
        </w:rPr>
        <w:drawing>
          <wp:inline distT="0" distB="0" distL="0" distR="0" wp14:anchorId="31905E27" wp14:editId="0A78B9AA">
            <wp:extent cx="4572000" cy="2743200"/>
            <wp:effectExtent l="0" t="0" r="0" b="0"/>
            <wp:docPr id="1821313456" name="Gráfico 1">
              <a:extLst xmlns:a="http://schemas.openxmlformats.org/drawingml/2006/main">
                <a:ext uri="{FF2B5EF4-FFF2-40B4-BE49-F238E27FC236}">
                  <a16:creationId xmlns:a16="http://schemas.microsoft.com/office/drawing/2014/main" id="{216AD897-F464-9C31-A767-CB6733382B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EDB4BCC" w14:textId="1A711953" w:rsidR="00996181" w:rsidRPr="00310D52" w:rsidRDefault="00996181" w:rsidP="005C3D4D">
      <w:pPr>
        <w:spacing w:line="360" w:lineRule="auto"/>
        <w:jc w:val="both"/>
        <w:rPr>
          <w:rFonts w:eastAsia="Calibri"/>
          <w:i/>
          <w:iCs/>
          <w:noProof/>
          <w:sz w:val="18"/>
          <w:szCs w:val="18"/>
          <w:lang w:val="es-DO"/>
        </w:rPr>
      </w:pPr>
      <w:r w:rsidRPr="00310D52">
        <w:rPr>
          <w:rFonts w:eastAsia="Calibri"/>
          <w:i/>
          <w:iCs/>
          <w:noProof/>
          <w:sz w:val="18"/>
          <w:szCs w:val="18"/>
          <w:lang w:val="es-DO"/>
        </w:rPr>
        <w:t>Fuente: División de Compras y Contrataciones</w:t>
      </w:r>
    </w:p>
    <w:p w14:paraId="1755AEB0" w14:textId="3CCF1407" w:rsidR="00996181" w:rsidRPr="00310D52" w:rsidRDefault="00996181" w:rsidP="005C3D4D">
      <w:pPr>
        <w:spacing w:line="360" w:lineRule="auto"/>
        <w:jc w:val="both"/>
        <w:rPr>
          <w:lang w:val="es-DO"/>
        </w:rPr>
      </w:pPr>
      <w:r w:rsidRPr="00310D52">
        <w:rPr>
          <w:lang w:val="es-DO"/>
        </w:rPr>
        <w:lastRenderedPageBreak/>
        <w:t>Durante el período se realizaron adjudicaciones en diferentes modalidades de contratación pública:</w:t>
      </w:r>
    </w:p>
    <w:p w14:paraId="1FFA3A3D" w14:textId="2D7FFFFD" w:rsidR="00996181" w:rsidRPr="00310D52" w:rsidRDefault="00996181" w:rsidP="005C3D4D">
      <w:pPr>
        <w:spacing w:line="360" w:lineRule="auto"/>
        <w:jc w:val="both"/>
        <w:rPr>
          <w:b/>
          <w:bCs/>
          <w:lang w:val="es-DO"/>
        </w:rPr>
      </w:pPr>
      <w:r w:rsidRPr="00310D52">
        <w:rPr>
          <w:b/>
          <w:bCs/>
          <w:lang w:val="es-DO"/>
        </w:rPr>
        <w:t>Compras y contrataciones según modalidad 2025 (RD$)</w:t>
      </w:r>
    </w:p>
    <w:tbl>
      <w:tblPr>
        <w:tblW w:w="5350" w:type="dxa"/>
        <w:tblLook w:val="04A0" w:firstRow="1" w:lastRow="0" w:firstColumn="1" w:lastColumn="0" w:noHBand="0" w:noVBand="1"/>
      </w:tblPr>
      <w:tblGrid>
        <w:gridCol w:w="3430"/>
        <w:gridCol w:w="1920"/>
      </w:tblGrid>
      <w:tr w:rsidR="00310D52" w:rsidRPr="00310D52" w14:paraId="1C2D006D" w14:textId="77777777" w:rsidTr="005B1419">
        <w:trPr>
          <w:trHeight w:val="405"/>
        </w:trPr>
        <w:tc>
          <w:tcPr>
            <w:tcW w:w="3430" w:type="dxa"/>
            <w:tcBorders>
              <w:top w:val="single" w:sz="4" w:space="0" w:color="auto"/>
              <w:left w:val="single" w:sz="4" w:space="0" w:color="auto"/>
              <w:bottom w:val="single" w:sz="4" w:space="0" w:color="auto"/>
              <w:right w:val="single" w:sz="4" w:space="0" w:color="auto"/>
            </w:tcBorders>
            <w:shd w:val="clear" w:color="000000" w:fill="142F62"/>
            <w:noWrap/>
            <w:vAlign w:val="center"/>
            <w:hideMark/>
          </w:tcPr>
          <w:p w14:paraId="12B5DA62" w14:textId="77777777" w:rsidR="005B1419" w:rsidRPr="005B1419" w:rsidRDefault="005B1419" w:rsidP="005B1419">
            <w:pPr>
              <w:spacing w:after="0" w:line="240" w:lineRule="auto"/>
              <w:rPr>
                <w:rFonts w:eastAsia="Times New Roman"/>
                <w:b/>
                <w:bCs/>
                <w:color w:val="FFFFFF" w:themeColor="background1"/>
                <w:spacing w:val="0"/>
                <w:lang w:val="es-DO"/>
              </w:rPr>
            </w:pPr>
            <w:r w:rsidRPr="005B1419">
              <w:rPr>
                <w:rFonts w:eastAsia="Times New Roman"/>
                <w:b/>
                <w:bCs/>
                <w:color w:val="FFFFFF" w:themeColor="background1"/>
                <w:spacing w:val="0"/>
                <w:lang w:val="es-DO"/>
              </w:rPr>
              <w:t xml:space="preserve">Modalidad de Contratación </w:t>
            </w:r>
          </w:p>
        </w:tc>
        <w:tc>
          <w:tcPr>
            <w:tcW w:w="1920" w:type="dxa"/>
            <w:tcBorders>
              <w:top w:val="single" w:sz="4" w:space="0" w:color="auto"/>
              <w:left w:val="nil"/>
              <w:bottom w:val="single" w:sz="4" w:space="0" w:color="auto"/>
              <w:right w:val="single" w:sz="4" w:space="0" w:color="auto"/>
            </w:tcBorders>
            <w:shd w:val="clear" w:color="000000" w:fill="142F62"/>
            <w:noWrap/>
            <w:vAlign w:val="center"/>
            <w:hideMark/>
          </w:tcPr>
          <w:p w14:paraId="65878CAF" w14:textId="77777777" w:rsidR="005B1419" w:rsidRPr="005B1419" w:rsidRDefault="005B1419" w:rsidP="005B1419">
            <w:pPr>
              <w:spacing w:after="0" w:line="240" w:lineRule="auto"/>
              <w:jc w:val="center"/>
              <w:rPr>
                <w:rFonts w:eastAsia="Times New Roman"/>
                <w:b/>
                <w:bCs/>
                <w:color w:val="FFFFFF" w:themeColor="background1"/>
                <w:spacing w:val="0"/>
                <w:lang w:val="es-DO"/>
              </w:rPr>
            </w:pPr>
            <w:r w:rsidRPr="005B1419">
              <w:rPr>
                <w:rFonts w:eastAsia="Times New Roman"/>
                <w:b/>
                <w:bCs/>
                <w:color w:val="FFFFFF" w:themeColor="background1"/>
                <w:spacing w:val="0"/>
                <w:lang w:val="es-DO"/>
              </w:rPr>
              <w:t xml:space="preserve">Monto </w:t>
            </w:r>
          </w:p>
        </w:tc>
      </w:tr>
      <w:tr w:rsidR="00310D52" w:rsidRPr="00310D52" w14:paraId="3721D6B3"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057609D4"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Compras por debajo del umbral</w:t>
            </w:r>
          </w:p>
        </w:tc>
        <w:tc>
          <w:tcPr>
            <w:tcW w:w="1920" w:type="dxa"/>
            <w:tcBorders>
              <w:top w:val="nil"/>
              <w:left w:val="nil"/>
              <w:bottom w:val="single" w:sz="4" w:space="0" w:color="auto"/>
              <w:right w:val="single" w:sz="4" w:space="0" w:color="auto"/>
            </w:tcBorders>
            <w:shd w:val="clear" w:color="000000" w:fill="FFFFFF"/>
            <w:noWrap/>
            <w:vAlign w:val="center"/>
            <w:hideMark/>
          </w:tcPr>
          <w:p w14:paraId="1C63AE49"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11,270,641.00</w:t>
            </w:r>
          </w:p>
        </w:tc>
      </w:tr>
      <w:tr w:rsidR="00310D52" w:rsidRPr="00310D52" w14:paraId="6C34ECA8"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28366300"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Compras menores</w:t>
            </w:r>
          </w:p>
        </w:tc>
        <w:tc>
          <w:tcPr>
            <w:tcW w:w="1920" w:type="dxa"/>
            <w:tcBorders>
              <w:top w:val="nil"/>
              <w:left w:val="nil"/>
              <w:bottom w:val="single" w:sz="4" w:space="0" w:color="auto"/>
              <w:right w:val="single" w:sz="4" w:space="0" w:color="auto"/>
            </w:tcBorders>
            <w:shd w:val="clear" w:color="000000" w:fill="FFFFFF"/>
            <w:noWrap/>
            <w:vAlign w:val="center"/>
            <w:hideMark/>
          </w:tcPr>
          <w:p w14:paraId="4980C5E6"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12,799,771.00</w:t>
            </w:r>
          </w:p>
        </w:tc>
      </w:tr>
      <w:tr w:rsidR="00310D52" w:rsidRPr="00310D52" w14:paraId="5D2D5B39"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4567DCA5"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Comparación de precios</w:t>
            </w:r>
          </w:p>
        </w:tc>
        <w:tc>
          <w:tcPr>
            <w:tcW w:w="1920" w:type="dxa"/>
            <w:tcBorders>
              <w:top w:val="nil"/>
              <w:left w:val="nil"/>
              <w:bottom w:val="single" w:sz="4" w:space="0" w:color="auto"/>
              <w:right w:val="single" w:sz="4" w:space="0" w:color="auto"/>
            </w:tcBorders>
            <w:shd w:val="clear" w:color="000000" w:fill="FFFFFF"/>
            <w:noWrap/>
            <w:vAlign w:val="center"/>
            <w:hideMark/>
          </w:tcPr>
          <w:p w14:paraId="3C888A45"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14,673,150.00</w:t>
            </w:r>
          </w:p>
        </w:tc>
      </w:tr>
      <w:tr w:rsidR="00310D52" w:rsidRPr="00310D52" w14:paraId="3423E0A4"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30117199"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Licitación pública</w:t>
            </w:r>
          </w:p>
        </w:tc>
        <w:tc>
          <w:tcPr>
            <w:tcW w:w="1920" w:type="dxa"/>
            <w:tcBorders>
              <w:top w:val="nil"/>
              <w:left w:val="nil"/>
              <w:bottom w:val="single" w:sz="4" w:space="0" w:color="auto"/>
              <w:right w:val="single" w:sz="4" w:space="0" w:color="auto"/>
            </w:tcBorders>
            <w:shd w:val="clear" w:color="000000" w:fill="FFFFFF"/>
            <w:noWrap/>
            <w:vAlign w:val="center"/>
            <w:hideMark/>
          </w:tcPr>
          <w:p w14:paraId="283FD6E5"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1,576,860,183.00</w:t>
            </w:r>
          </w:p>
        </w:tc>
      </w:tr>
      <w:tr w:rsidR="00310D52" w:rsidRPr="00310D52" w14:paraId="6923F20B"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5F6DB810"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Excepción - proveedor único</w:t>
            </w:r>
          </w:p>
        </w:tc>
        <w:tc>
          <w:tcPr>
            <w:tcW w:w="1920" w:type="dxa"/>
            <w:tcBorders>
              <w:top w:val="nil"/>
              <w:left w:val="nil"/>
              <w:bottom w:val="single" w:sz="4" w:space="0" w:color="auto"/>
              <w:right w:val="single" w:sz="4" w:space="0" w:color="auto"/>
            </w:tcBorders>
            <w:shd w:val="clear" w:color="000000" w:fill="FFFFFF"/>
            <w:noWrap/>
            <w:vAlign w:val="center"/>
            <w:hideMark/>
          </w:tcPr>
          <w:p w14:paraId="0F3B1867"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90,321,624.00</w:t>
            </w:r>
          </w:p>
        </w:tc>
      </w:tr>
      <w:tr w:rsidR="00310D52" w:rsidRPr="00310D52" w14:paraId="08BF38BB" w14:textId="77777777" w:rsidTr="005B1419">
        <w:trPr>
          <w:trHeight w:val="315"/>
        </w:trPr>
        <w:tc>
          <w:tcPr>
            <w:tcW w:w="3430" w:type="dxa"/>
            <w:tcBorders>
              <w:top w:val="nil"/>
              <w:left w:val="single" w:sz="4" w:space="0" w:color="auto"/>
              <w:bottom w:val="single" w:sz="4" w:space="0" w:color="auto"/>
              <w:right w:val="single" w:sz="4" w:space="0" w:color="auto"/>
            </w:tcBorders>
            <w:shd w:val="clear" w:color="000000" w:fill="FFFFFF"/>
            <w:noWrap/>
            <w:vAlign w:val="center"/>
            <w:hideMark/>
          </w:tcPr>
          <w:p w14:paraId="23098CE7" w14:textId="77777777" w:rsidR="005B1419" w:rsidRPr="005B1419" w:rsidRDefault="005B1419" w:rsidP="005B1419">
            <w:pPr>
              <w:spacing w:after="0" w:line="240" w:lineRule="auto"/>
              <w:rPr>
                <w:rFonts w:eastAsia="Times New Roman"/>
                <w:spacing w:val="0"/>
                <w:lang w:val="es-DO"/>
              </w:rPr>
            </w:pPr>
            <w:r w:rsidRPr="005B1419">
              <w:rPr>
                <w:rFonts w:eastAsia="Times New Roman"/>
                <w:spacing w:val="0"/>
                <w:lang w:val="es-DO"/>
              </w:rPr>
              <w:t>Subasta Inversa</w:t>
            </w:r>
          </w:p>
        </w:tc>
        <w:tc>
          <w:tcPr>
            <w:tcW w:w="1920" w:type="dxa"/>
            <w:tcBorders>
              <w:top w:val="nil"/>
              <w:left w:val="nil"/>
              <w:bottom w:val="single" w:sz="4" w:space="0" w:color="auto"/>
              <w:right w:val="single" w:sz="4" w:space="0" w:color="auto"/>
            </w:tcBorders>
            <w:shd w:val="clear" w:color="000000" w:fill="FFFFFF"/>
            <w:noWrap/>
            <w:vAlign w:val="center"/>
            <w:hideMark/>
          </w:tcPr>
          <w:p w14:paraId="406F4BE4" w14:textId="77777777" w:rsidR="005B1419" w:rsidRPr="005B1419" w:rsidRDefault="005B1419" w:rsidP="005B1419">
            <w:pPr>
              <w:spacing w:after="0" w:line="240" w:lineRule="auto"/>
              <w:jc w:val="right"/>
              <w:rPr>
                <w:rFonts w:eastAsia="Times New Roman"/>
                <w:spacing w:val="0"/>
                <w:lang w:val="es-DO"/>
              </w:rPr>
            </w:pPr>
            <w:r w:rsidRPr="005B1419">
              <w:rPr>
                <w:rFonts w:eastAsia="Times New Roman"/>
                <w:spacing w:val="0"/>
                <w:lang w:val="es-DO"/>
              </w:rPr>
              <w:t>79,272,460.00</w:t>
            </w:r>
          </w:p>
        </w:tc>
      </w:tr>
      <w:tr w:rsidR="00310D52" w:rsidRPr="00310D52" w14:paraId="57326856" w14:textId="77777777" w:rsidTr="005B1419">
        <w:trPr>
          <w:trHeight w:val="330"/>
        </w:trPr>
        <w:tc>
          <w:tcPr>
            <w:tcW w:w="3430" w:type="dxa"/>
            <w:tcBorders>
              <w:top w:val="nil"/>
              <w:left w:val="single" w:sz="4" w:space="0" w:color="auto"/>
              <w:bottom w:val="single" w:sz="4" w:space="0" w:color="auto"/>
              <w:right w:val="single" w:sz="4" w:space="0" w:color="auto"/>
            </w:tcBorders>
            <w:shd w:val="clear" w:color="000000" w:fill="142F62"/>
            <w:noWrap/>
            <w:vAlign w:val="center"/>
            <w:hideMark/>
          </w:tcPr>
          <w:p w14:paraId="2AF01BAD" w14:textId="77777777" w:rsidR="005B1419" w:rsidRPr="005B1419" w:rsidRDefault="005B1419" w:rsidP="005B1419">
            <w:pPr>
              <w:spacing w:after="0" w:line="240" w:lineRule="auto"/>
              <w:jc w:val="center"/>
              <w:rPr>
                <w:rFonts w:eastAsia="Times New Roman"/>
                <w:b/>
                <w:bCs/>
                <w:color w:val="FFFFFF" w:themeColor="background1"/>
                <w:spacing w:val="0"/>
                <w:lang w:val="es-DO"/>
              </w:rPr>
            </w:pPr>
            <w:r w:rsidRPr="005B1419">
              <w:rPr>
                <w:rFonts w:eastAsia="Times New Roman"/>
                <w:b/>
                <w:bCs/>
                <w:color w:val="FFFFFF" w:themeColor="background1"/>
                <w:spacing w:val="0"/>
                <w:lang w:val="es-DO"/>
              </w:rPr>
              <w:t>Total</w:t>
            </w:r>
          </w:p>
        </w:tc>
        <w:tc>
          <w:tcPr>
            <w:tcW w:w="1920" w:type="dxa"/>
            <w:tcBorders>
              <w:top w:val="nil"/>
              <w:left w:val="nil"/>
              <w:bottom w:val="single" w:sz="4" w:space="0" w:color="auto"/>
              <w:right w:val="single" w:sz="4" w:space="0" w:color="auto"/>
            </w:tcBorders>
            <w:shd w:val="clear" w:color="000000" w:fill="142F62"/>
            <w:noWrap/>
            <w:vAlign w:val="center"/>
            <w:hideMark/>
          </w:tcPr>
          <w:p w14:paraId="58628919" w14:textId="77777777" w:rsidR="005B1419" w:rsidRPr="005B1419" w:rsidRDefault="005B1419" w:rsidP="005B1419">
            <w:pPr>
              <w:spacing w:after="0" w:line="240" w:lineRule="auto"/>
              <w:jc w:val="center"/>
              <w:rPr>
                <w:rFonts w:eastAsia="Times New Roman"/>
                <w:b/>
                <w:bCs/>
                <w:color w:val="FFFFFF" w:themeColor="background1"/>
                <w:spacing w:val="0"/>
                <w:lang w:val="es-DO"/>
              </w:rPr>
            </w:pPr>
            <w:r w:rsidRPr="005B1419">
              <w:rPr>
                <w:rFonts w:eastAsia="Times New Roman"/>
                <w:b/>
                <w:bCs/>
                <w:color w:val="FFFFFF" w:themeColor="background1"/>
                <w:spacing w:val="0"/>
                <w:lang w:val="es-DO"/>
              </w:rPr>
              <w:t>1,785,197,829.00</w:t>
            </w:r>
          </w:p>
        </w:tc>
      </w:tr>
    </w:tbl>
    <w:p w14:paraId="15052A8C" w14:textId="77777777" w:rsidR="00275786" w:rsidRPr="00310D52" w:rsidRDefault="00275786" w:rsidP="00996181">
      <w:pPr>
        <w:spacing w:line="360" w:lineRule="auto"/>
        <w:jc w:val="both"/>
        <w:rPr>
          <w:i/>
          <w:iCs/>
          <w:sz w:val="18"/>
          <w:szCs w:val="18"/>
          <w:lang w:val="es-DO"/>
        </w:rPr>
      </w:pPr>
    </w:p>
    <w:p w14:paraId="0A811F33" w14:textId="76221825" w:rsidR="00996181" w:rsidRPr="00310D52" w:rsidRDefault="00996181" w:rsidP="00996181">
      <w:pPr>
        <w:spacing w:line="360" w:lineRule="auto"/>
        <w:jc w:val="both"/>
        <w:rPr>
          <w:rFonts w:eastAsia="Times New Roman"/>
          <w:i/>
          <w:iCs/>
          <w:sz w:val="16"/>
          <w:szCs w:val="16"/>
          <w:lang w:val="es-DO" w:eastAsia="es-DO"/>
        </w:rPr>
      </w:pPr>
      <w:r w:rsidRPr="00310D52">
        <w:rPr>
          <w:i/>
          <w:iCs/>
          <w:sz w:val="18"/>
          <w:szCs w:val="18"/>
          <w:lang w:val="es-DO"/>
        </w:rPr>
        <w:t xml:space="preserve">Fuente: Elaboración en base a los reportes del SIGEF </w:t>
      </w:r>
    </w:p>
    <w:p w14:paraId="25A786B4" w14:textId="77777777" w:rsidR="00996181" w:rsidRPr="00310D52" w:rsidRDefault="00996181" w:rsidP="00996181">
      <w:pPr>
        <w:spacing w:line="360" w:lineRule="auto"/>
        <w:jc w:val="both"/>
        <w:rPr>
          <w:rFonts w:eastAsia="Calibri"/>
          <w:noProof/>
          <w:lang w:val="es-DO"/>
        </w:rPr>
      </w:pPr>
      <w:r w:rsidRPr="00310D52">
        <w:rPr>
          <w:rFonts w:eastAsia="Calibri"/>
          <w:noProof/>
          <w:lang w:val="es-DO"/>
        </w:rPr>
        <w:t>En las modalidades como se puede observar, la de mayor adjudicación fueron las licitaciones públicas, representando un 88.33% del total dirigidas a la contratación de servicios de Alquileres de Ambulancias, Mantenimientos, Adquisición de Insumos Médicos, Combustibles.</w:t>
      </w:r>
    </w:p>
    <w:p w14:paraId="6A5A1F86" w14:textId="45691E0B" w:rsidR="00996181" w:rsidRPr="00310D52" w:rsidRDefault="00996181" w:rsidP="005C3D4D">
      <w:pPr>
        <w:spacing w:line="360" w:lineRule="auto"/>
        <w:jc w:val="both"/>
        <w:rPr>
          <w:rFonts w:eastAsia="Calibri"/>
          <w:noProof/>
          <w:lang w:val="es-DO"/>
        </w:rPr>
      </w:pPr>
      <w:r w:rsidRPr="00310D52">
        <w:rPr>
          <w:rFonts w:eastAsia="Calibri"/>
          <w:noProof/>
          <w:lang w:val="es-DO"/>
        </w:rPr>
        <w:t>Las compras por debajo del umbral, comparaciones de precios y compras menores también representan una parte considerable de las adjudicaciones, con montos de RD$11,270 millones, RD$14,673 millones y RD$12,799 millones, respectivamente. Estas modalidades se utilizan para adquisiciones de menor cuantía y se caracterizan por promover la participación de proveedores más pequeños y locales.</w:t>
      </w:r>
    </w:p>
    <w:p w14:paraId="1294F8F2" w14:textId="77777777" w:rsidR="00996181" w:rsidRPr="00310D52" w:rsidRDefault="00996181" w:rsidP="005C3D4D">
      <w:pPr>
        <w:spacing w:line="360" w:lineRule="auto"/>
        <w:jc w:val="both"/>
        <w:rPr>
          <w:rFonts w:eastAsia="Calibri"/>
          <w:noProof/>
          <w:lang w:val="es-DO"/>
        </w:rPr>
      </w:pPr>
    </w:p>
    <w:p w14:paraId="592E518D" w14:textId="77777777" w:rsidR="00996181" w:rsidRPr="00310D52" w:rsidRDefault="00996181" w:rsidP="005C3D4D">
      <w:pPr>
        <w:spacing w:line="360" w:lineRule="auto"/>
        <w:jc w:val="both"/>
        <w:rPr>
          <w:rFonts w:eastAsia="Calibri"/>
          <w:noProof/>
          <w:lang w:val="es-DO"/>
        </w:rPr>
      </w:pPr>
    </w:p>
    <w:p w14:paraId="2C184E58" w14:textId="77777777" w:rsidR="00996181" w:rsidRPr="00310D52" w:rsidRDefault="00996181" w:rsidP="005C3D4D">
      <w:pPr>
        <w:spacing w:line="360" w:lineRule="auto"/>
        <w:jc w:val="both"/>
        <w:rPr>
          <w:rFonts w:eastAsia="Calibri"/>
          <w:noProof/>
          <w:lang w:val="es-DO"/>
        </w:rPr>
      </w:pPr>
    </w:p>
    <w:p w14:paraId="38BCA76B" w14:textId="60BB5D7B" w:rsidR="0005527B" w:rsidRPr="00F06D9C" w:rsidRDefault="0005527B" w:rsidP="0005527B">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27" w:name="_Toc217050890"/>
      <w:r w:rsidRPr="00F06D9C">
        <w:rPr>
          <w:rFonts w:eastAsiaTheme="majorEastAsia"/>
          <w:b/>
          <w:spacing w:val="0"/>
          <w:szCs w:val="28"/>
          <w:lang w:val="es-DO"/>
        </w:rPr>
        <w:lastRenderedPageBreak/>
        <w:t>Desempeño de los Recursos Humanos</w:t>
      </w:r>
      <w:bookmarkEnd w:id="27"/>
    </w:p>
    <w:p w14:paraId="3BF13CE5" w14:textId="552C2927" w:rsidR="0005527B" w:rsidRPr="00310D52" w:rsidRDefault="0005527B" w:rsidP="0005527B">
      <w:pPr>
        <w:spacing w:line="360" w:lineRule="auto"/>
        <w:jc w:val="both"/>
        <w:rPr>
          <w:lang w:val="es-DO"/>
        </w:rPr>
      </w:pPr>
      <w:r w:rsidRPr="00310D52">
        <w:rPr>
          <w:lang w:val="es-DO"/>
        </w:rPr>
        <w:t>En el periodo analizado se ha logrado avances significativos en la gestión del talento humano que han influido en el crecimiento de la entidad, obteniendo los siguientes logros:</w:t>
      </w:r>
    </w:p>
    <w:p w14:paraId="5B50D52F" w14:textId="147E748C" w:rsidR="0005527B" w:rsidRPr="00310D52" w:rsidRDefault="0005527B" w:rsidP="0005527B">
      <w:pPr>
        <w:pStyle w:val="Prrafodelista"/>
        <w:numPr>
          <w:ilvl w:val="0"/>
          <w:numId w:val="15"/>
        </w:numPr>
        <w:spacing w:line="360" w:lineRule="auto"/>
        <w:jc w:val="both"/>
        <w:rPr>
          <w:lang w:val="es-DO"/>
        </w:rPr>
      </w:pPr>
      <w:bookmarkStart w:id="28" w:name="_Hlk216273271"/>
      <w:r w:rsidRPr="00310D52">
        <w:rPr>
          <w:lang w:val="es-DO"/>
        </w:rPr>
        <w:t>Se ejecutó un amplio programa de fortalecimiento de competencias con 55 acciones formativas y 1,531 horas de capacitación, dirigidas a mejorar las capacidades técnicas, operativas y administrativas del personal de distintas áreas asistenciales y administrativas.</w:t>
      </w:r>
    </w:p>
    <w:bookmarkEnd w:id="28"/>
    <w:p w14:paraId="3010F2A5" w14:textId="77586097" w:rsidR="0005527B" w:rsidRPr="00310D52" w:rsidRDefault="0005527B" w:rsidP="0005527B">
      <w:pPr>
        <w:pStyle w:val="Prrafodelista"/>
        <w:numPr>
          <w:ilvl w:val="0"/>
          <w:numId w:val="15"/>
        </w:numPr>
        <w:spacing w:line="360" w:lineRule="auto"/>
        <w:jc w:val="both"/>
        <w:rPr>
          <w:lang w:val="es-DO"/>
        </w:rPr>
      </w:pPr>
      <w:r w:rsidRPr="00310D52">
        <w:rPr>
          <w:lang w:val="es-DO"/>
        </w:rPr>
        <w:t>Se gestionó y aprobó la cobertura oportuna de funciones mediante 58 interinatos, asegurando la continuidad operativa y la atención eficiente de los servicios esenciales.</w:t>
      </w:r>
    </w:p>
    <w:p w14:paraId="5A58EACB" w14:textId="67710EF9" w:rsidR="0005527B" w:rsidRPr="00310D52" w:rsidRDefault="0005527B" w:rsidP="0005527B">
      <w:pPr>
        <w:pStyle w:val="Prrafodelista"/>
        <w:numPr>
          <w:ilvl w:val="0"/>
          <w:numId w:val="15"/>
        </w:numPr>
        <w:spacing w:line="360" w:lineRule="auto"/>
        <w:jc w:val="both"/>
        <w:rPr>
          <w:lang w:val="es-DO"/>
        </w:rPr>
      </w:pPr>
      <w:r w:rsidRPr="00310D52">
        <w:rPr>
          <w:lang w:val="es-DO"/>
        </w:rPr>
        <w:t>Se aprobaron 131 cambios de designación fija, garantizando la regularización laboral conforme a las normativas vigentes y validando los expedientes requeridos para su adecuada tramitación.</w:t>
      </w:r>
    </w:p>
    <w:p w14:paraId="10159DE4" w14:textId="5249E3B8" w:rsidR="0005527B" w:rsidRPr="00310D52" w:rsidRDefault="0005527B" w:rsidP="0005527B">
      <w:pPr>
        <w:pStyle w:val="Prrafodelista"/>
        <w:numPr>
          <w:ilvl w:val="0"/>
          <w:numId w:val="15"/>
        </w:numPr>
        <w:spacing w:line="360" w:lineRule="auto"/>
        <w:jc w:val="both"/>
        <w:rPr>
          <w:lang w:val="es-DO"/>
        </w:rPr>
      </w:pPr>
      <w:r w:rsidRPr="00310D52">
        <w:rPr>
          <w:lang w:val="es-DO"/>
        </w:rPr>
        <w:t>Asimismo, fueron gestionados y aprobados 16 cambios de designación temporal, enfocados en reforzar el apoyo operativo de acuerdo con las necesidades institucionales identificadas.</w:t>
      </w:r>
    </w:p>
    <w:p w14:paraId="2C4186FD" w14:textId="4404B09A" w:rsidR="0005527B" w:rsidRPr="00310D52" w:rsidRDefault="0005527B" w:rsidP="0005527B">
      <w:pPr>
        <w:pStyle w:val="Prrafodelista"/>
        <w:numPr>
          <w:ilvl w:val="0"/>
          <w:numId w:val="15"/>
        </w:numPr>
        <w:spacing w:line="360" w:lineRule="auto"/>
        <w:jc w:val="both"/>
        <w:rPr>
          <w:lang w:val="es-DO"/>
        </w:rPr>
      </w:pPr>
      <w:r w:rsidRPr="00310D52">
        <w:rPr>
          <w:lang w:val="es-DO"/>
        </w:rPr>
        <w:t xml:space="preserve">Se brindó respuesta oportuna a 160 casos presentados a través del programa “5 minutos con el </w:t>
      </w:r>
      <w:r w:rsidR="004126E1" w:rsidRPr="00310D52">
        <w:rPr>
          <w:lang w:val="es-DO"/>
        </w:rPr>
        <w:t>director</w:t>
      </w:r>
      <w:r w:rsidRPr="00310D52">
        <w:rPr>
          <w:lang w:val="es-DO"/>
        </w:rPr>
        <w:t>”, atendiendo inquietudes, solicitudes y situaciones administrativas planteadas por los colaboradores.</w:t>
      </w:r>
    </w:p>
    <w:p w14:paraId="30352422" w14:textId="1EDFDCD4" w:rsidR="0005527B" w:rsidRPr="00310D52" w:rsidRDefault="00BA6390" w:rsidP="0005527B">
      <w:pPr>
        <w:pStyle w:val="Prrafodelista"/>
        <w:numPr>
          <w:ilvl w:val="0"/>
          <w:numId w:val="15"/>
        </w:numPr>
        <w:spacing w:line="360" w:lineRule="auto"/>
        <w:jc w:val="both"/>
        <w:rPr>
          <w:lang w:val="es-DO"/>
        </w:rPr>
      </w:pPr>
      <w:r w:rsidRPr="00310D52">
        <w:rPr>
          <w:lang w:val="es-DO"/>
        </w:rPr>
        <w:t xml:space="preserve">En materia de reclutamiento, se procesaron 3,350 solicitudes, de las cuales, tras el proceso de depuración y validación correspondiente, fueron seleccionados y contratados 2,308 colaboradores asistenciales y 422 colaboradores administrativos, fortaleciendo la capacidad operativa y de apoyo de la institución. Al cierre del período, la DAEH contó </w:t>
      </w:r>
      <w:r w:rsidRPr="00310D52">
        <w:rPr>
          <w:lang w:val="es-DO"/>
        </w:rPr>
        <w:lastRenderedPageBreak/>
        <w:t>con un total de 8,450 colaboradores, de los cuales 4,863 corresponden al sexo femenino (57.5 %) y 3,587 al sexo masculino (42.5 %), evidenciando una participación mayoritaria de mujeres en la estructura institucional.</w:t>
      </w:r>
    </w:p>
    <w:p w14:paraId="322236B6" w14:textId="1994C2C1" w:rsidR="0005527B" w:rsidRPr="00310D52" w:rsidRDefault="0005527B" w:rsidP="0005527B">
      <w:pPr>
        <w:pStyle w:val="Prrafodelista"/>
        <w:numPr>
          <w:ilvl w:val="0"/>
          <w:numId w:val="15"/>
        </w:numPr>
        <w:spacing w:line="360" w:lineRule="auto"/>
        <w:jc w:val="both"/>
        <w:rPr>
          <w:lang w:val="es-DO"/>
        </w:rPr>
      </w:pPr>
      <w:r w:rsidRPr="00310D52">
        <w:rPr>
          <w:lang w:val="es-DO"/>
        </w:rPr>
        <w:t>Se llevaron a cabo 8 jornadas de salud orientadas al bienestar integral del personal, ofreciendo servicios gratuitos de evaluación cardiovascular, oftalmológica, control de glicemia y Sonomamografía.</w:t>
      </w:r>
    </w:p>
    <w:p w14:paraId="5EE88047" w14:textId="07755D46" w:rsidR="00467EB5" w:rsidRPr="00310D52" w:rsidRDefault="00467EB5" w:rsidP="0005527B">
      <w:pPr>
        <w:pStyle w:val="Prrafodelista"/>
        <w:numPr>
          <w:ilvl w:val="0"/>
          <w:numId w:val="15"/>
        </w:numPr>
        <w:spacing w:line="360" w:lineRule="auto"/>
        <w:jc w:val="both"/>
        <w:rPr>
          <w:lang w:val="es-DO"/>
        </w:rPr>
      </w:pPr>
      <w:r w:rsidRPr="00310D52">
        <w:rPr>
          <w:lang w:val="es-DO"/>
        </w:rPr>
        <w:t>Se</w:t>
      </w:r>
      <w:r w:rsidR="00211E35" w:rsidRPr="00310D52">
        <w:rPr>
          <w:lang w:val="es-DO"/>
        </w:rPr>
        <w:t xml:space="preserve"> gestionó el proceso de Evaluación de Desempeño del personal, logrando la aprobación de 7,154 colaboradores, lo que representó un 94 % del personal evaluado, permitiendo su acceso al incentivo por rendimiento individual, conforme a las normativas institucionales y a los lineamientos establecidos por el Ministerio de Administración Pública (MAP).</w:t>
      </w:r>
    </w:p>
    <w:p w14:paraId="4E73FC0F" w14:textId="6B1AADC8" w:rsidR="0005527B" w:rsidRPr="00310D52" w:rsidRDefault="0005527B" w:rsidP="0005527B">
      <w:pPr>
        <w:pStyle w:val="Prrafodelista"/>
        <w:numPr>
          <w:ilvl w:val="0"/>
          <w:numId w:val="15"/>
        </w:numPr>
        <w:spacing w:line="360" w:lineRule="auto"/>
        <w:jc w:val="both"/>
        <w:rPr>
          <w:lang w:val="es-DO"/>
        </w:rPr>
      </w:pPr>
      <w:r w:rsidRPr="00310D52">
        <w:rPr>
          <w:lang w:val="es-DO"/>
        </w:rPr>
        <w:t>Finalmente, se completó la carnetización de 2,847 colaboradores, mediante un proceso organizado y eficiente que garantizó la emisión y distribución precisa y oportuna de los carnets institucionales.</w:t>
      </w:r>
    </w:p>
    <w:p w14:paraId="124715BC" w14:textId="4AB90EAD" w:rsidR="00467EB5" w:rsidRPr="00310D52" w:rsidRDefault="00BA6390" w:rsidP="00BA6390">
      <w:pPr>
        <w:spacing w:line="360" w:lineRule="auto"/>
        <w:jc w:val="both"/>
        <w:rPr>
          <w:lang w:val="es-DO"/>
        </w:rPr>
      </w:pPr>
      <w:r w:rsidRPr="00310D52">
        <w:rPr>
          <w:lang w:val="es-DO"/>
        </w:rPr>
        <w:t xml:space="preserve">Actualmente, nuestra institución no ha sido incorporada en el sistema SISMAP, Esta situación limita la evaluación externa de nuestros subsistemas de </w:t>
      </w:r>
      <w:r w:rsidR="00310D52" w:rsidRPr="00310D52">
        <w:rPr>
          <w:lang w:val="es-DO"/>
        </w:rPr>
        <w:t xml:space="preserve">recursos humanos </w:t>
      </w:r>
      <w:r w:rsidRPr="00310D52">
        <w:rPr>
          <w:lang w:val="es-DO"/>
        </w:rPr>
        <w:t>en comparación con otras instituciones públicas. Sin embargo, estamos comprometidos con la mejora continua y el monitoreo interno de nuestros indicadores.</w:t>
      </w:r>
    </w:p>
    <w:p w14:paraId="0ED9D0F8" w14:textId="77777777" w:rsidR="00996181" w:rsidRPr="00310D52" w:rsidRDefault="00996181" w:rsidP="00BA6390">
      <w:pPr>
        <w:spacing w:line="360" w:lineRule="auto"/>
        <w:jc w:val="both"/>
        <w:rPr>
          <w:lang w:val="es-DO"/>
        </w:rPr>
      </w:pPr>
    </w:p>
    <w:p w14:paraId="0A0CC23B" w14:textId="77777777" w:rsidR="00996181" w:rsidRPr="00310D52" w:rsidRDefault="00996181" w:rsidP="00BA6390">
      <w:pPr>
        <w:spacing w:line="360" w:lineRule="auto"/>
        <w:jc w:val="both"/>
        <w:rPr>
          <w:lang w:val="es-DO"/>
        </w:rPr>
      </w:pPr>
    </w:p>
    <w:p w14:paraId="128431BF" w14:textId="77777777" w:rsidR="00996181" w:rsidRPr="00310D52" w:rsidRDefault="00996181" w:rsidP="00BA6390">
      <w:pPr>
        <w:spacing w:line="360" w:lineRule="auto"/>
        <w:jc w:val="both"/>
        <w:rPr>
          <w:lang w:val="es-DO"/>
        </w:rPr>
      </w:pPr>
    </w:p>
    <w:p w14:paraId="5EF31174" w14:textId="1AF80AA2" w:rsidR="001D52D6" w:rsidRPr="00F06D9C" w:rsidRDefault="001D52D6" w:rsidP="0005527B">
      <w:pPr>
        <w:pStyle w:val="Prrafodelista"/>
        <w:keepNext/>
        <w:keepLines/>
        <w:numPr>
          <w:ilvl w:val="1"/>
          <w:numId w:val="1"/>
        </w:numPr>
        <w:spacing w:before="240" w:after="0" w:line="360" w:lineRule="auto"/>
        <w:ind w:left="360"/>
        <w:jc w:val="both"/>
        <w:outlineLvl w:val="0"/>
        <w:rPr>
          <w:rFonts w:eastAsiaTheme="majorEastAsia"/>
          <w:b/>
          <w:spacing w:val="0"/>
          <w:szCs w:val="28"/>
          <w:lang w:val="es-DO"/>
        </w:rPr>
      </w:pPr>
      <w:bookmarkStart w:id="29" w:name="_Toc217050891"/>
      <w:r w:rsidRPr="00F06D9C">
        <w:rPr>
          <w:rFonts w:eastAsiaTheme="majorEastAsia"/>
          <w:b/>
          <w:spacing w:val="0"/>
          <w:szCs w:val="28"/>
          <w:lang w:val="es-DO"/>
        </w:rPr>
        <w:lastRenderedPageBreak/>
        <w:t>Desempeño de los Procesos Jurídicos</w:t>
      </w:r>
      <w:bookmarkEnd w:id="26"/>
      <w:bookmarkEnd w:id="29"/>
    </w:p>
    <w:p w14:paraId="348C72F2" w14:textId="2A8D9A7F" w:rsidR="005C7C38" w:rsidRPr="00310D52" w:rsidRDefault="00BD6578" w:rsidP="00BA2267">
      <w:pPr>
        <w:spacing w:line="360" w:lineRule="auto"/>
        <w:jc w:val="both"/>
        <w:rPr>
          <w:rFonts w:eastAsia="Calibri"/>
          <w:noProof/>
          <w:lang w:val="es-DO"/>
        </w:rPr>
      </w:pPr>
      <w:r w:rsidRPr="00310D52">
        <w:rPr>
          <w:rFonts w:eastAsia="Calibri"/>
          <w:noProof/>
          <w:lang w:val="es-DO"/>
        </w:rPr>
        <w:t>En el área jurídica, hemos implementado acciones que contribuyen al fortalecimiento de los procesos internos de nuestra institución y a una gestión legal eficiente. Entre los principales logros se incluyen:</w:t>
      </w:r>
    </w:p>
    <w:p w14:paraId="517A708C" w14:textId="57FC8B10" w:rsidR="00BD6578" w:rsidRPr="00310D52" w:rsidRDefault="00BD6578" w:rsidP="00BD6578">
      <w:pPr>
        <w:pStyle w:val="Prrafodelista"/>
        <w:numPr>
          <w:ilvl w:val="0"/>
          <w:numId w:val="14"/>
        </w:numPr>
        <w:spacing w:line="360" w:lineRule="auto"/>
        <w:jc w:val="both"/>
        <w:rPr>
          <w:rFonts w:eastAsia="Calibri"/>
          <w:noProof/>
          <w:lang w:val="es-DO"/>
        </w:rPr>
      </w:pPr>
      <w:r w:rsidRPr="00310D52">
        <w:rPr>
          <w:rFonts w:eastAsia="Calibri"/>
          <w:noProof/>
          <w:lang w:val="es-DO"/>
        </w:rPr>
        <w:t>Gestión de Finiquitos Legales: Se completaron 248 finiquitos legales, garantizando el cierre formal y oportuno de los procesos correspondientes.</w:t>
      </w:r>
    </w:p>
    <w:p w14:paraId="449F813A" w14:textId="70F1B2D4" w:rsidR="005C7C38" w:rsidRPr="00310D52" w:rsidRDefault="00BD6578" w:rsidP="00BD6578">
      <w:pPr>
        <w:pStyle w:val="Prrafodelista"/>
        <w:numPr>
          <w:ilvl w:val="0"/>
          <w:numId w:val="14"/>
        </w:numPr>
        <w:spacing w:line="360" w:lineRule="auto"/>
        <w:jc w:val="both"/>
        <w:rPr>
          <w:rFonts w:eastAsia="Calibri"/>
          <w:noProof/>
          <w:lang w:val="es-DO"/>
        </w:rPr>
      </w:pPr>
      <w:r w:rsidRPr="00310D52">
        <w:rPr>
          <w:rFonts w:eastAsia="Calibri"/>
          <w:noProof/>
          <w:lang w:val="es-DO"/>
        </w:rPr>
        <w:t>Fortalecimiento de Procesos Administrativos y Contractuales: Se revisaron y gestionaron 35 contratos de compras y contrataciones, asegurando el cumplimiento del marco normativo vigente. Asimismo, el equipo participó activamente en 22 revisiones de pliegos de condiciones, apoyando la transparencia en los procesos institucionales.</w:t>
      </w:r>
    </w:p>
    <w:p w14:paraId="234071AF" w14:textId="75C9C20C" w:rsidR="00BD6578" w:rsidRPr="00310D52" w:rsidRDefault="00BD6578" w:rsidP="00BD6578">
      <w:pPr>
        <w:pStyle w:val="Prrafodelista"/>
        <w:numPr>
          <w:ilvl w:val="0"/>
          <w:numId w:val="14"/>
        </w:numPr>
        <w:spacing w:line="360" w:lineRule="auto"/>
        <w:jc w:val="both"/>
        <w:rPr>
          <w:rFonts w:eastAsia="Calibri"/>
          <w:noProof/>
          <w:lang w:val="es-DO"/>
        </w:rPr>
      </w:pPr>
      <w:r w:rsidRPr="00310D52">
        <w:rPr>
          <w:rFonts w:eastAsia="Calibri"/>
          <w:noProof/>
          <w:lang w:val="es-DO"/>
        </w:rPr>
        <w:t>Certificaciones de Asistencias: Se emitieron 296 certificaciones de asistencia a usuarios atendidos por nuestras unidades prehospitalarias, contribuyendo a la validación de sus procesos clínicos y administrativo.</w:t>
      </w:r>
    </w:p>
    <w:p w14:paraId="50764829" w14:textId="39DF5AB9" w:rsidR="00BD6578" w:rsidRPr="00310D52" w:rsidRDefault="00BD6578" w:rsidP="00BD6578">
      <w:pPr>
        <w:pStyle w:val="Prrafodelista"/>
        <w:numPr>
          <w:ilvl w:val="0"/>
          <w:numId w:val="14"/>
        </w:numPr>
        <w:spacing w:line="360" w:lineRule="auto"/>
        <w:jc w:val="both"/>
        <w:rPr>
          <w:rFonts w:eastAsia="Calibri"/>
          <w:noProof/>
          <w:lang w:val="es-DO"/>
        </w:rPr>
      </w:pPr>
      <w:r w:rsidRPr="00310D52">
        <w:rPr>
          <w:rFonts w:eastAsia="Calibri"/>
          <w:noProof/>
          <w:lang w:val="es-DO"/>
        </w:rPr>
        <w:t>Procesos Litigiosos: Se gestionaron 30 procesos litigiosos, con 17 casos resueltos y 13 en curso, manteniendo el seguimiento oportuno ante los tribunales y velando por la defensa institucional.</w:t>
      </w:r>
    </w:p>
    <w:p w14:paraId="77151591" w14:textId="51DC9532" w:rsidR="00BD6578" w:rsidRPr="00310D52" w:rsidRDefault="00BD6578" w:rsidP="00467EB5">
      <w:pPr>
        <w:pStyle w:val="Prrafodelista"/>
        <w:numPr>
          <w:ilvl w:val="0"/>
          <w:numId w:val="14"/>
        </w:numPr>
        <w:spacing w:line="360" w:lineRule="auto"/>
        <w:jc w:val="both"/>
        <w:rPr>
          <w:rFonts w:eastAsia="Calibri"/>
          <w:noProof/>
          <w:lang w:val="es-DO"/>
        </w:rPr>
      </w:pPr>
      <w:r w:rsidRPr="00310D52">
        <w:rPr>
          <w:rFonts w:eastAsia="Calibri"/>
          <w:noProof/>
          <w:lang w:val="es-DO"/>
        </w:rPr>
        <w:t>Convenios Interinstitucionales: Se</w:t>
      </w:r>
      <w:r w:rsidR="00BA6390" w:rsidRPr="00310D52">
        <w:rPr>
          <w:rFonts w:eastAsia="Calibri"/>
          <w:noProof/>
          <w:lang w:val="es-DO"/>
        </w:rPr>
        <w:t xml:space="preserve"> formalizaron dos acuerdos interinstitucionales orientados a fortalecer la gestión jurídica y operativa de la DAEH: uno con el Consejo Estatal del Azúcar (CEA), mediante el cual se asignó un terreno para su uso como centro de acopio y taller institucional, y otro con el IDOPRIL, destinado a fortalecer la protección social de los colaboradores ante riesgos laborales, mejorar la cobertura y agilizar el pago de subsidios, garantizando beneficios oportunos y una gestión más eficiente y transparente.</w:t>
      </w:r>
    </w:p>
    <w:p w14:paraId="63FA89A8" w14:textId="15E22783" w:rsidR="00BD6578" w:rsidRPr="00310D52" w:rsidRDefault="00BD6578" w:rsidP="00BD6578">
      <w:pPr>
        <w:spacing w:line="360" w:lineRule="auto"/>
        <w:jc w:val="both"/>
        <w:rPr>
          <w:rFonts w:eastAsia="Calibri"/>
          <w:noProof/>
          <w:lang w:val="es-DO"/>
        </w:rPr>
      </w:pPr>
      <w:r w:rsidRPr="00310D52">
        <w:rPr>
          <w:rFonts w:eastAsia="Calibri"/>
          <w:noProof/>
          <w:lang w:val="es-DO"/>
        </w:rPr>
        <w:lastRenderedPageBreak/>
        <w:t>Desagregado por acción contamos con las siguientes estadísticas:</w:t>
      </w:r>
    </w:p>
    <w:p w14:paraId="08A4740D" w14:textId="0818E5A6" w:rsidR="005C7C38" w:rsidRPr="00310D52" w:rsidRDefault="00BA6390" w:rsidP="00996181">
      <w:pPr>
        <w:spacing w:after="0" w:line="360" w:lineRule="auto"/>
        <w:jc w:val="both"/>
        <w:rPr>
          <w:rFonts w:eastAsia="Calibri"/>
          <w:noProof/>
          <w:lang w:val="es-DO"/>
        </w:rPr>
      </w:pPr>
      <w:r w:rsidRPr="00310D52">
        <w:rPr>
          <w:rFonts w:eastAsia="Calibri"/>
          <w:noProof/>
          <w:lang w:val="es-DO"/>
        </w:rPr>
        <w:object w:dxaOrig="8622" w:dyaOrig="5704" w14:anchorId="45DC9E07">
          <v:shape id="_x0000_i1031" type="#_x0000_t75" style="width:379.5pt;height:263.25pt" o:ole="">
            <v:imagedata r:id="rId29" o:title=""/>
          </v:shape>
          <o:OLEObject Type="Embed" ProgID="Excel.Sheet.12" ShapeID="_x0000_i1031" DrawAspect="Content" ObjectID="_1832144371" r:id="rId30"/>
        </w:object>
      </w:r>
    </w:p>
    <w:p w14:paraId="018AB76F" w14:textId="77777777" w:rsidR="002F2305" w:rsidRPr="00310D52" w:rsidRDefault="00BD6578" w:rsidP="002F2305">
      <w:pPr>
        <w:spacing w:line="360" w:lineRule="auto"/>
        <w:jc w:val="both"/>
        <w:rPr>
          <w:rFonts w:eastAsia="Calibri"/>
          <w:i/>
          <w:iCs/>
          <w:noProof/>
          <w:sz w:val="18"/>
          <w:szCs w:val="18"/>
          <w:lang w:val="es-DO"/>
        </w:rPr>
      </w:pPr>
      <w:r w:rsidRPr="00310D52">
        <w:rPr>
          <w:rFonts w:eastAsia="Calibri"/>
          <w:i/>
          <w:iCs/>
          <w:noProof/>
          <w:sz w:val="18"/>
          <w:szCs w:val="18"/>
          <w:lang w:val="es-DO"/>
        </w:rPr>
        <w:t>Fuente: Departamento Juridico</w:t>
      </w:r>
      <w:bookmarkStart w:id="30" w:name="_Toc184936520"/>
    </w:p>
    <w:p w14:paraId="5996F4DA" w14:textId="04F4FC10" w:rsidR="002F2305" w:rsidRPr="00F06D9C" w:rsidRDefault="002F2305" w:rsidP="002F2305">
      <w:pPr>
        <w:pStyle w:val="Prrafodelista"/>
        <w:keepNext/>
        <w:keepLines/>
        <w:numPr>
          <w:ilvl w:val="1"/>
          <w:numId w:val="1"/>
        </w:numPr>
        <w:spacing w:before="240" w:after="0" w:line="360" w:lineRule="auto"/>
        <w:ind w:left="0"/>
        <w:jc w:val="both"/>
        <w:outlineLvl w:val="0"/>
        <w:rPr>
          <w:rFonts w:eastAsiaTheme="majorEastAsia"/>
          <w:b/>
          <w:spacing w:val="0"/>
          <w:szCs w:val="28"/>
          <w:lang w:val="es-DO"/>
        </w:rPr>
      </w:pPr>
      <w:bookmarkStart w:id="31" w:name="_Toc217050892"/>
      <w:r w:rsidRPr="00F06D9C">
        <w:rPr>
          <w:rFonts w:eastAsiaTheme="majorEastAsia"/>
          <w:b/>
          <w:spacing w:val="0"/>
          <w:szCs w:val="28"/>
          <w:lang w:val="es-DO"/>
        </w:rPr>
        <w:t>Desempeño de la Tecnología</w:t>
      </w:r>
      <w:bookmarkEnd w:id="31"/>
    </w:p>
    <w:p w14:paraId="16EA565E" w14:textId="0114A001" w:rsidR="002F277C" w:rsidRPr="00310D52" w:rsidRDefault="002F277C" w:rsidP="002F277C">
      <w:pPr>
        <w:spacing w:line="360" w:lineRule="auto"/>
        <w:jc w:val="both"/>
        <w:rPr>
          <w:rFonts w:eastAsia="Calibri"/>
          <w:noProof/>
          <w:lang w:val="es-DO"/>
        </w:rPr>
      </w:pPr>
      <w:r w:rsidRPr="00310D52">
        <w:rPr>
          <w:rFonts w:eastAsia="Calibri"/>
          <w:noProof/>
          <w:lang w:val="es-DO"/>
        </w:rPr>
        <w:t>En materia tecnológica, durante el período se desarrollaron diversas iniciativas orientadas al fortalecimiento de la infraestructura, la mejora de los procesos internos y la implementación de soluciones digitales que contribuyen a una mayor eficiencia operativa. Estas acciones apoyan directamente el proceso de transformación institucional y se alinean con los lineamientos de modernización de la gestión pública.</w:t>
      </w:r>
    </w:p>
    <w:p w14:paraId="166AFFB9" w14:textId="0F4AF100" w:rsidR="002F277C" w:rsidRPr="00310D52" w:rsidRDefault="002F277C" w:rsidP="002F277C">
      <w:pPr>
        <w:spacing w:line="360" w:lineRule="auto"/>
        <w:jc w:val="both"/>
        <w:rPr>
          <w:rFonts w:eastAsia="Calibri"/>
          <w:noProof/>
          <w:lang w:val="es-DO"/>
        </w:rPr>
      </w:pPr>
      <w:r w:rsidRPr="00310D52">
        <w:rPr>
          <w:rFonts w:eastAsia="Calibri"/>
          <w:noProof/>
          <w:lang w:val="es-DO"/>
        </w:rPr>
        <w:t xml:space="preserve">Como parte del proceso de reestructuración tecnológica, se realizaron levantamientos tecnológicos en las provincias donde opera la institución, con el objetivo de conocer el estado real de los recursos disponibles. Este diagnóstico permitió identificar condiciones del equipamiento, necesidades de actualización y sustitución, oportunidades de mejora en conectividad y redes internas, así como establecer una hoja de </w:t>
      </w:r>
      <w:r w:rsidRPr="00310D52">
        <w:rPr>
          <w:rFonts w:eastAsia="Calibri"/>
          <w:noProof/>
          <w:lang w:val="es-DO"/>
        </w:rPr>
        <w:lastRenderedPageBreak/>
        <w:t>ruta para la modernización tecnológica regional. Estos levantamientos constituyen la base para la planificación de inversiones, la priorización de intervenciones y la garantía de la continuidad operativa a nivel territorial.</w:t>
      </w:r>
    </w:p>
    <w:p w14:paraId="5470C3BC" w14:textId="490C4E0A" w:rsidR="002F277C" w:rsidRPr="00310D52" w:rsidRDefault="002F277C" w:rsidP="002F277C">
      <w:pPr>
        <w:spacing w:line="360" w:lineRule="auto"/>
        <w:jc w:val="both"/>
        <w:rPr>
          <w:rFonts w:eastAsia="Calibri"/>
          <w:noProof/>
          <w:lang w:val="es-DO"/>
        </w:rPr>
      </w:pPr>
      <w:r w:rsidRPr="00310D52">
        <w:rPr>
          <w:rFonts w:eastAsia="Calibri"/>
          <w:noProof/>
          <w:lang w:val="es-DO"/>
        </w:rPr>
        <w:t>En el ámbito de la transformación digital, se completó la segunda fase del Sistema de Gestión Humana (SGH), plataforma estratégica destinada a centralizar y optimizar la gestión del personal. La implementación del SGH permitirá automatizar procesos clave, fortalecer la integridad y disponibilidad de la información, mejorar la eficiencia administrativa y garantizar la trazabilidad de las operaciones relacionadas con los recursos humanos.</w:t>
      </w:r>
    </w:p>
    <w:p w14:paraId="192C7B97" w14:textId="4BD313C9" w:rsidR="002F277C" w:rsidRPr="00310D52" w:rsidRDefault="002F277C" w:rsidP="002F277C">
      <w:pPr>
        <w:spacing w:line="360" w:lineRule="auto"/>
        <w:jc w:val="both"/>
        <w:rPr>
          <w:rFonts w:eastAsia="Calibri"/>
          <w:noProof/>
          <w:lang w:val="es-DO"/>
        </w:rPr>
      </w:pPr>
      <w:r w:rsidRPr="00310D52">
        <w:rPr>
          <w:rFonts w:eastAsia="Calibri"/>
          <w:noProof/>
          <w:lang w:val="es-DO"/>
        </w:rPr>
        <w:t>El sistema integra módulos fundamentales vinculados a la gestión laboral, tales como amonestaciones, solicitudes de permisos, vacaciones, licencias médicas, certificaciones, estructura organizacional y seguimiento de actividades. Cada uno de estos componentes contará con tableros de control diseñados para ofrecer información en tiempo real y visualizaciones que faciliten el análisis y la toma de decisiones.</w:t>
      </w:r>
    </w:p>
    <w:p w14:paraId="5B37E0D7" w14:textId="320AAD4A" w:rsidR="00675ED4" w:rsidRPr="00310D52" w:rsidRDefault="002F277C" w:rsidP="00675ED4">
      <w:pPr>
        <w:spacing w:line="360" w:lineRule="auto"/>
        <w:jc w:val="both"/>
        <w:rPr>
          <w:rFonts w:eastAsia="Calibri"/>
          <w:noProof/>
          <w:lang w:val="es-DO"/>
        </w:rPr>
      </w:pPr>
      <w:r w:rsidRPr="00310D52">
        <w:rPr>
          <w:rFonts w:eastAsia="Calibri"/>
          <w:noProof/>
          <w:lang w:val="es-DO"/>
        </w:rPr>
        <w:t>Entre los desarrollos realizados, destaca el Tablero de Monitoreo de Actividades, el cual consolida información clave sobre el movimiento del personal, incluyendo cantidad de empleados, ingresos, desvinculaciones, cambios de designación, ajustes salariales y distribución por región y dependencia. Esta herramienta fortalece la capacidad de análisis estratégico del recurso humano y contribuye a una gestión más eficiente, transparente y orientada a resultados.</w:t>
      </w:r>
    </w:p>
    <w:p w14:paraId="649D1521" w14:textId="1B716AD7" w:rsidR="006D4D90" w:rsidRPr="00310D52" w:rsidRDefault="006D4D90" w:rsidP="00675ED4">
      <w:pPr>
        <w:spacing w:line="360" w:lineRule="auto"/>
        <w:jc w:val="both"/>
        <w:rPr>
          <w:rFonts w:eastAsia="Calibri"/>
          <w:noProof/>
          <w:lang w:val="es-DO"/>
        </w:rPr>
      </w:pPr>
      <w:r w:rsidRPr="00310D52">
        <w:rPr>
          <w:rFonts w:eastAsia="Calibri"/>
          <w:noProof/>
          <w:lang w:val="es-DO"/>
        </w:rPr>
        <w:t xml:space="preserve">La DAEH continuó avanzando en el proceso de adecuación a los estándares TIC del Estado, mediante la implementación progresiva de las Normas TIC, el fortalecimiento de la gestión del portal web institucional y la organización de evidencias para los procesos de </w:t>
      </w:r>
      <w:r w:rsidRPr="00310D52">
        <w:rPr>
          <w:rFonts w:eastAsia="Calibri"/>
          <w:noProof/>
          <w:lang w:val="es-DO"/>
        </w:rPr>
        <w:lastRenderedPageBreak/>
        <w:t>certificación NORTIC A2 y la evaluación preliminar de NORTIC A3. Estos esfuerzos forman parte de la preparación institucional para su futura inclusión en el iTicge, ya que la DAEH aún no forma parte de las instituciones evaluadas en este índice.</w:t>
      </w:r>
    </w:p>
    <w:p w14:paraId="18415E23" w14:textId="20749056" w:rsidR="00D744ED" w:rsidRPr="00F06D9C" w:rsidRDefault="00D744ED" w:rsidP="00D744ED">
      <w:pPr>
        <w:pStyle w:val="Prrafodelista"/>
        <w:keepNext/>
        <w:keepLines/>
        <w:numPr>
          <w:ilvl w:val="1"/>
          <w:numId w:val="1"/>
        </w:numPr>
        <w:spacing w:before="240" w:after="0" w:line="360" w:lineRule="auto"/>
        <w:ind w:left="0"/>
        <w:jc w:val="both"/>
        <w:outlineLvl w:val="0"/>
        <w:rPr>
          <w:rFonts w:eastAsiaTheme="majorEastAsia"/>
          <w:b/>
          <w:spacing w:val="0"/>
          <w:szCs w:val="28"/>
          <w:lang w:val="es-DO"/>
        </w:rPr>
      </w:pPr>
      <w:bookmarkStart w:id="32" w:name="_Toc217050893"/>
      <w:r w:rsidRPr="00F06D9C">
        <w:rPr>
          <w:rFonts w:eastAsiaTheme="majorEastAsia"/>
          <w:b/>
          <w:spacing w:val="0"/>
          <w:szCs w:val="28"/>
          <w:lang w:val="es-DO"/>
        </w:rPr>
        <w:t>Desempeño del Sistema de Planificación y Desarrollo Institucional.</w:t>
      </w:r>
      <w:bookmarkEnd w:id="30"/>
      <w:bookmarkEnd w:id="32"/>
    </w:p>
    <w:p w14:paraId="1EC5248E" w14:textId="77777777" w:rsidR="00D744ED" w:rsidRPr="00310D52" w:rsidRDefault="00D744ED" w:rsidP="00D744ED">
      <w:pPr>
        <w:spacing w:line="360" w:lineRule="auto"/>
        <w:jc w:val="both"/>
        <w:rPr>
          <w:rFonts w:eastAsia="Calibri"/>
          <w:noProof/>
          <w:lang w:val="es-DO"/>
        </w:rPr>
      </w:pPr>
      <w:r w:rsidRPr="00310D52">
        <w:rPr>
          <w:rFonts w:eastAsia="Calibri"/>
          <w:noProof/>
          <w:lang w:val="es-DO"/>
        </w:rPr>
        <w:t xml:space="preserve">La Dirección de Servicios de Atención a Emergencias Extrahospitalarias impulsa acciones enfocadas en el crecimiento organizacional. Su objetivo es liderar la creación y seguimiento de planes, programas y proyectos clave para el desarrollo institucional, además de gestionar los sistemas de calidad y fomentar la cooperación internacional. </w:t>
      </w:r>
    </w:p>
    <w:p w14:paraId="0C182C23" w14:textId="77777777" w:rsidR="00D744ED" w:rsidRPr="00310D52" w:rsidRDefault="00D744ED" w:rsidP="00D744ED">
      <w:pPr>
        <w:spacing w:line="360" w:lineRule="auto"/>
        <w:jc w:val="both"/>
        <w:rPr>
          <w:rFonts w:eastAsia="Calibri"/>
          <w:noProof/>
          <w:lang w:val="es-DO"/>
        </w:rPr>
      </w:pPr>
      <w:r w:rsidRPr="00310D52">
        <w:rPr>
          <w:rFonts w:eastAsia="Calibri"/>
          <w:noProof/>
          <w:lang w:val="es-DO"/>
        </w:rPr>
        <w:t>Esta área se dedica a fortalecer y optimizar el sistema de emergencias mediante el desarrollo de los cuatro subsistemas de planificación, con el fin de asegurar una gestión eficiente y efectiva que esté alineada con los objetivos estratégicos, en beneficio tanto de la institución como de todos los involucrados.</w:t>
      </w:r>
    </w:p>
    <w:p w14:paraId="1661F84F" w14:textId="77777777" w:rsidR="00D744ED" w:rsidRPr="00310D52" w:rsidRDefault="00D744ED" w:rsidP="00D744ED">
      <w:pPr>
        <w:spacing w:line="360" w:lineRule="auto"/>
        <w:jc w:val="both"/>
        <w:rPr>
          <w:rFonts w:eastAsia="Calibri"/>
          <w:noProof/>
          <w:lang w:val="es-DO"/>
        </w:rPr>
      </w:pPr>
      <w:r w:rsidRPr="00310D52">
        <w:rPr>
          <w:rFonts w:eastAsia="Calibri"/>
          <w:noProof/>
          <w:lang w:val="es-DO"/>
        </w:rPr>
        <w:t>Dentro de los principales logros encontramos:</w:t>
      </w:r>
    </w:p>
    <w:p w14:paraId="428F0E84" w14:textId="5C53A171" w:rsidR="00D744ED" w:rsidRPr="00310D52" w:rsidRDefault="00D744ED" w:rsidP="00D744ED">
      <w:pPr>
        <w:pStyle w:val="Prrafodelista"/>
        <w:numPr>
          <w:ilvl w:val="0"/>
          <w:numId w:val="16"/>
        </w:numPr>
        <w:spacing w:line="360" w:lineRule="auto"/>
        <w:jc w:val="both"/>
        <w:rPr>
          <w:rFonts w:eastAsia="Calibri"/>
          <w:b/>
          <w:bCs/>
          <w:noProof/>
          <w:lang w:val="es-DO"/>
        </w:rPr>
      </w:pPr>
      <w:r w:rsidRPr="00310D52">
        <w:rPr>
          <w:rFonts w:eastAsia="Calibri"/>
          <w:noProof/>
          <w:lang w:val="es-DO"/>
        </w:rPr>
        <w:t>Se elaboró y se puso en marcha el Plan Estratégico Institucional 2025-2028, construido a partir del análisis de riesgos, las necesidades operativas y las prioridades institucionales. Este instrumento establece la hoja de ruta para los próximos cuatro años, alineando objetivos, indicadores y acciones clave que fortalecerán la organización y optimizarán la prestación de los servicios de atención extrahospitalaria en todo el país.</w:t>
      </w:r>
    </w:p>
    <w:p w14:paraId="20516FE2" w14:textId="77777777" w:rsidR="00D744ED" w:rsidRPr="00310D52" w:rsidRDefault="00D744ED" w:rsidP="00D744ED">
      <w:pPr>
        <w:pStyle w:val="Prrafodelista"/>
        <w:rPr>
          <w:rFonts w:eastAsia="Calibri"/>
          <w:noProof/>
          <w:lang w:val="es-DO"/>
        </w:rPr>
      </w:pPr>
    </w:p>
    <w:p w14:paraId="6F3E070B" w14:textId="243239DE" w:rsidR="00D744ED" w:rsidRPr="00310D52" w:rsidRDefault="00D744ED" w:rsidP="00D744ED">
      <w:pPr>
        <w:pStyle w:val="Prrafodelista"/>
        <w:numPr>
          <w:ilvl w:val="0"/>
          <w:numId w:val="16"/>
        </w:numPr>
        <w:spacing w:line="360" w:lineRule="auto"/>
        <w:jc w:val="both"/>
        <w:rPr>
          <w:rFonts w:eastAsia="Calibri"/>
          <w:noProof/>
          <w:lang w:val="es-DO"/>
        </w:rPr>
      </w:pPr>
      <w:r w:rsidRPr="00310D52">
        <w:rPr>
          <w:rFonts w:eastAsia="Calibri"/>
          <w:noProof/>
          <w:lang w:val="es-DO"/>
        </w:rPr>
        <w:t xml:space="preserve">De acuerdo con la programación correspondientes al año se evalúan los avances de iniciativas y actividades a modo general, y el desempeño particular de cada una de las áreas </w:t>
      </w:r>
      <w:r w:rsidRPr="00310D52">
        <w:rPr>
          <w:rFonts w:eastAsia="Calibri"/>
          <w:noProof/>
          <w:lang w:val="es-DO"/>
        </w:rPr>
        <w:lastRenderedPageBreak/>
        <w:t xml:space="preserve">funcionales que forman parte de la DAEH, </w:t>
      </w:r>
      <w:bookmarkStart w:id="33" w:name="_Hlk216336737"/>
      <w:r w:rsidRPr="00310D52">
        <w:rPr>
          <w:rFonts w:eastAsia="Calibri"/>
          <w:noProof/>
          <w:lang w:val="es-DO"/>
        </w:rPr>
        <w:t xml:space="preserve">monitoreo del Plan Operativo Anual con un porcentaje promedio de eficiencia y eficacia de un </w:t>
      </w:r>
      <w:r w:rsidR="001F160D" w:rsidRPr="00310D52">
        <w:rPr>
          <w:rFonts w:eastAsia="Calibri"/>
          <w:noProof/>
          <w:lang w:val="es-DO"/>
        </w:rPr>
        <w:t>96</w:t>
      </w:r>
      <w:r w:rsidRPr="00310D52">
        <w:rPr>
          <w:rFonts w:eastAsia="Calibri"/>
          <w:noProof/>
          <w:lang w:val="es-DO"/>
        </w:rPr>
        <w:t>%.</w:t>
      </w:r>
    </w:p>
    <w:p w14:paraId="39A117F3" w14:textId="77777777" w:rsidR="00D744ED" w:rsidRPr="00310D52" w:rsidRDefault="00D744ED" w:rsidP="00D744ED">
      <w:pPr>
        <w:pStyle w:val="Prrafodelista"/>
        <w:rPr>
          <w:rFonts w:eastAsia="Calibri"/>
          <w:noProof/>
          <w:lang w:val="es-DO"/>
        </w:rPr>
      </w:pPr>
    </w:p>
    <w:p w14:paraId="16926445" w14:textId="71FFD980" w:rsidR="00D744ED" w:rsidRPr="00310D52" w:rsidRDefault="00D744ED" w:rsidP="00F75DF1">
      <w:pPr>
        <w:pStyle w:val="Prrafodelista"/>
        <w:numPr>
          <w:ilvl w:val="0"/>
          <w:numId w:val="16"/>
        </w:numPr>
        <w:spacing w:line="360" w:lineRule="auto"/>
        <w:jc w:val="both"/>
        <w:rPr>
          <w:rFonts w:eastAsia="Calibri"/>
          <w:noProof/>
          <w:lang w:val="es-DO"/>
        </w:rPr>
      </w:pPr>
      <w:r w:rsidRPr="00310D52">
        <w:rPr>
          <w:rFonts w:eastAsia="Calibri"/>
          <w:noProof/>
          <w:lang w:val="es-DO"/>
        </w:rPr>
        <w:t xml:space="preserve">Actualización de cuatro (4) </w:t>
      </w:r>
      <w:bookmarkStart w:id="34" w:name="_Hlk184283155"/>
      <w:r w:rsidRPr="00310D52">
        <w:rPr>
          <w:rFonts w:eastAsia="Calibri"/>
          <w:noProof/>
          <w:lang w:val="es-DO"/>
        </w:rPr>
        <w:t xml:space="preserve">planes de respuesta a </w:t>
      </w:r>
      <w:bookmarkEnd w:id="34"/>
      <w:r w:rsidRPr="00310D52">
        <w:rPr>
          <w:rFonts w:eastAsia="Calibri"/>
          <w:noProof/>
          <w:lang w:val="es-DO"/>
        </w:rPr>
        <w:t>emergencias por temporadas: Operativo La Altagracia, Operativo Semana Santa, Temporada Ciclónica 2025 y Operativo Navidad-Año Nuevo 2025-26, con el objetivo de garantizar la protección de la vida de la población mediante medidas preventivas y asegurar que los servicios de salud sean eficaces y oportunos.</w:t>
      </w:r>
    </w:p>
    <w:p w14:paraId="52E19DEB" w14:textId="77777777" w:rsidR="00F75DF1" w:rsidRPr="00310D52" w:rsidRDefault="00F75DF1" w:rsidP="00F75DF1">
      <w:pPr>
        <w:pStyle w:val="Prrafodelista"/>
        <w:rPr>
          <w:rFonts w:eastAsia="Calibri"/>
          <w:noProof/>
          <w:lang w:val="es-DO"/>
        </w:rPr>
      </w:pPr>
    </w:p>
    <w:p w14:paraId="091D7865" w14:textId="56E8F697" w:rsidR="00D744ED" w:rsidRPr="00310D52" w:rsidRDefault="00D744ED" w:rsidP="00D744ED">
      <w:pPr>
        <w:pStyle w:val="Prrafodelista"/>
        <w:numPr>
          <w:ilvl w:val="0"/>
          <w:numId w:val="16"/>
        </w:numPr>
        <w:spacing w:line="360" w:lineRule="auto"/>
        <w:jc w:val="both"/>
        <w:rPr>
          <w:rFonts w:eastAsia="Calibri"/>
          <w:noProof/>
          <w:lang w:val="es-DO"/>
        </w:rPr>
      </w:pPr>
      <w:r w:rsidRPr="00310D52">
        <w:rPr>
          <w:rFonts w:eastAsia="Calibri"/>
          <w:noProof/>
          <w:lang w:val="es-DO"/>
        </w:rPr>
        <w:t xml:space="preserve">Fortalecimiento  en la  eficiencia y la calidad de los servicios prestados, mediante la </w:t>
      </w:r>
      <w:r w:rsidR="008358E8" w:rsidRPr="00310D52">
        <w:rPr>
          <w:rFonts w:eastAsia="Calibri"/>
          <w:noProof/>
          <w:lang w:val="es-DO"/>
        </w:rPr>
        <w:t>estandarización</w:t>
      </w:r>
      <w:r w:rsidRPr="00310D52">
        <w:rPr>
          <w:rFonts w:eastAsia="Calibri"/>
          <w:noProof/>
          <w:lang w:val="es-DO"/>
        </w:rPr>
        <w:t xml:space="preserve"> de </w:t>
      </w:r>
      <w:r w:rsidR="002E0ED0" w:rsidRPr="00310D52">
        <w:rPr>
          <w:rFonts w:eastAsia="Calibri"/>
          <w:noProof/>
          <w:lang w:val="es-DO"/>
        </w:rPr>
        <w:t>29</w:t>
      </w:r>
      <w:r w:rsidRPr="00310D52">
        <w:rPr>
          <w:rFonts w:eastAsia="Calibri"/>
          <w:noProof/>
          <w:lang w:val="es-DO"/>
        </w:rPr>
        <w:t xml:space="preserve"> documentos normativos, incluyendo formularios, fichas instructivas, procedimientos, manuales, políticas y planes. Este proceso busca garantizar la uniformidad en los procesos operativos, mejorar la comprensión y aplicación de las normativas institucionales, y asegurar la alineación con los estándares establecidos</w:t>
      </w:r>
      <w:r w:rsidR="00F361A9" w:rsidRPr="00310D52">
        <w:rPr>
          <w:rFonts w:eastAsia="Calibri"/>
          <w:noProof/>
          <w:lang w:val="es-DO"/>
        </w:rPr>
        <w:t xml:space="preserve">, cumpliendo con un total de </w:t>
      </w:r>
      <w:r w:rsidR="002E0ED0" w:rsidRPr="00310D52">
        <w:rPr>
          <w:rFonts w:eastAsia="Calibri"/>
          <w:noProof/>
          <w:lang w:val="es-DO"/>
        </w:rPr>
        <w:t>171</w:t>
      </w:r>
      <w:r w:rsidR="00F361A9" w:rsidRPr="00310D52">
        <w:rPr>
          <w:rFonts w:eastAsia="Calibri"/>
          <w:noProof/>
          <w:lang w:val="es-DO"/>
        </w:rPr>
        <w:t xml:space="preserve"> documentos del Sistema de Gestión de Calidad</w:t>
      </w:r>
      <w:r w:rsidRPr="00310D52">
        <w:rPr>
          <w:rFonts w:eastAsia="Calibri"/>
          <w:noProof/>
          <w:lang w:val="es-DO"/>
        </w:rPr>
        <w:t>.</w:t>
      </w:r>
    </w:p>
    <w:bookmarkEnd w:id="33"/>
    <w:p w14:paraId="1701211A" w14:textId="77777777" w:rsidR="004218D4" w:rsidRPr="00310D52" w:rsidRDefault="004218D4" w:rsidP="004218D4">
      <w:pPr>
        <w:pStyle w:val="Prrafodelista"/>
        <w:spacing w:line="360" w:lineRule="auto"/>
        <w:jc w:val="both"/>
        <w:rPr>
          <w:rFonts w:eastAsia="Calibri"/>
          <w:noProof/>
          <w:lang w:val="es-DO"/>
        </w:rPr>
      </w:pPr>
    </w:p>
    <w:p w14:paraId="7BF354C2" w14:textId="2AB9BAAA" w:rsidR="00F75DF1" w:rsidRPr="00F06D9C" w:rsidRDefault="00F75DF1" w:rsidP="003E00B8">
      <w:pPr>
        <w:pStyle w:val="Prrafodelista"/>
        <w:keepNext/>
        <w:keepLines/>
        <w:numPr>
          <w:ilvl w:val="0"/>
          <w:numId w:val="18"/>
        </w:numPr>
        <w:spacing w:before="240" w:after="0" w:line="360" w:lineRule="auto"/>
        <w:ind w:left="0"/>
        <w:outlineLvl w:val="0"/>
        <w:rPr>
          <w:rFonts w:eastAsiaTheme="majorEastAsia"/>
          <w:b/>
          <w:spacing w:val="0"/>
          <w:szCs w:val="28"/>
          <w:lang w:val="es-DO"/>
        </w:rPr>
      </w:pPr>
      <w:bookmarkStart w:id="35" w:name="_Toc140677008"/>
      <w:bookmarkStart w:id="36" w:name="_Toc153439498"/>
      <w:bookmarkStart w:id="37" w:name="_Toc184936521"/>
      <w:bookmarkStart w:id="38" w:name="_Toc217050894"/>
      <w:r w:rsidRPr="00F06D9C">
        <w:rPr>
          <w:rFonts w:eastAsiaTheme="majorEastAsia"/>
          <w:b/>
          <w:spacing w:val="0"/>
          <w:szCs w:val="28"/>
          <w:lang w:val="es-DO"/>
        </w:rPr>
        <w:t>Resultados de las Normas Básicas de Control Interno (NOBACI)</w:t>
      </w:r>
      <w:bookmarkEnd w:id="35"/>
      <w:bookmarkEnd w:id="36"/>
      <w:bookmarkEnd w:id="37"/>
      <w:bookmarkEnd w:id="38"/>
    </w:p>
    <w:p w14:paraId="41079495" w14:textId="77777777" w:rsidR="00F75DF1" w:rsidRDefault="00F75DF1" w:rsidP="00F75DF1">
      <w:pPr>
        <w:spacing w:line="360" w:lineRule="auto"/>
        <w:jc w:val="both"/>
        <w:rPr>
          <w:rFonts w:eastAsia="Calibri"/>
          <w:noProof/>
          <w:lang w:val="es-DO"/>
        </w:rPr>
      </w:pPr>
      <w:r w:rsidRPr="00310D52">
        <w:rPr>
          <w:rFonts w:eastAsia="Calibri"/>
          <w:noProof/>
          <w:lang w:val="es-DO"/>
        </w:rPr>
        <w:t>Conscientes de la importancia que representa el control interno en aras de fomentar la transparencia y la rendición clara y oportuna de cuentas, nuestras autoridades han apoyado y promovido enfáticamente la implementación de las Normas Básicas de Control Interno (NOBACI), para lo cual dentro de nuestra Institución se ha conformado un equipo de trabajo dedicado específicamente a la evaluación, documentación y establecimiento de los controles fundamentales requeridos por las NOBACI.</w:t>
      </w:r>
    </w:p>
    <w:p w14:paraId="3A222BE7" w14:textId="77777777" w:rsidR="00F06D9C" w:rsidRPr="00310D52" w:rsidRDefault="00F06D9C" w:rsidP="00F75DF1">
      <w:pPr>
        <w:spacing w:line="360" w:lineRule="auto"/>
        <w:jc w:val="both"/>
        <w:rPr>
          <w:rFonts w:eastAsia="Calibri"/>
          <w:noProof/>
          <w:lang w:val="es-DO"/>
        </w:rPr>
      </w:pPr>
    </w:p>
    <w:p w14:paraId="5ADBE694" w14:textId="77777777" w:rsidR="00F75DF1" w:rsidRPr="00310D52" w:rsidRDefault="00F75DF1" w:rsidP="00F75DF1">
      <w:pPr>
        <w:spacing w:line="360" w:lineRule="auto"/>
        <w:jc w:val="both"/>
        <w:rPr>
          <w:rFonts w:eastAsia="Calibri"/>
          <w:noProof/>
          <w:lang w:val="es-DO"/>
        </w:rPr>
      </w:pPr>
      <w:r w:rsidRPr="00310D52">
        <w:rPr>
          <w:rFonts w:eastAsia="Calibri"/>
          <w:noProof/>
          <w:lang w:val="es-DO"/>
        </w:rPr>
        <w:lastRenderedPageBreak/>
        <w:t>A la fecha, hemos logrado el siguiente avance:</w:t>
      </w:r>
    </w:p>
    <w:p w14:paraId="41299C6C" w14:textId="0053A3C4" w:rsidR="00F75DF1" w:rsidRPr="00310D52" w:rsidRDefault="00F75DF1" w:rsidP="00F75DF1">
      <w:pPr>
        <w:pStyle w:val="Descripcin"/>
        <w:keepNext/>
        <w:spacing w:line="360" w:lineRule="auto"/>
        <w:jc w:val="both"/>
        <w:rPr>
          <w:b/>
          <w:bCs/>
          <w:i w:val="0"/>
          <w:iCs w:val="0"/>
          <w:color w:val="767171"/>
          <w:sz w:val="24"/>
          <w:szCs w:val="24"/>
          <w:lang w:val="es-DO"/>
        </w:rPr>
      </w:pPr>
      <w:r w:rsidRPr="00310D52">
        <w:rPr>
          <w:b/>
          <w:bCs/>
          <w:i w:val="0"/>
          <w:iCs w:val="0"/>
          <w:color w:val="767171"/>
          <w:sz w:val="24"/>
          <w:szCs w:val="24"/>
          <w:lang w:val="es-DO"/>
        </w:rPr>
        <w:t xml:space="preserve">Tabla </w:t>
      </w:r>
      <w:r w:rsidRPr="00310D52">
        <w:rPr>
          <w:b/>
          <w:bCs/>
          <w:i w:val="0"/>
          <w:iCs w:val="0"/>
          <w:color w:val="767171"/>
          <w:sz w:val="24"/>
          <w:szCs w:val="24"/>
          <w:lang w:val="es-DO"/>
        </w:rPr>
        <w:fldChar w:fldCharType="begin"/>
      </w:r>
      <w:r w:rsidRPr="00310D52">
        <w:rPr>
          <w:b/>
          <w:bCs/>
          <w:i w:val="0"/>
          <w:iCs w:val="0"/>
          <w:color w:val="767171"/>
          <w:sz w:val="24"/>
          <w:szCs w:val="24"/>
          <w:lang w:val="es-DO"/>
        </w:rPr>
        <w:instrText xml:space="preserve"> SEQ Tabla \* ARABIC </w:instrText>
      </w:r>
      <w:r w:rsidRPr="00310D52">
        <w:rPr>
          <w:b/>
          <w:bCs/>
          <w:i w:val="0"/>
          <w:iCs w:val="0"/>
          <w:color w:val="767171"/>
          <w:sz w:val="24"/>
          <w:szCs w:val="24"/>
          <w:lang w:val="es-DO"/>
        </w:rPr>
        <w:fldChar w:fldCharType="separate"/>
      </w:r>
      <w:r w:rsidR="00E51BBA" w:rsidRPr="00310D52">
        <w:rPr>
          <w:b/>
          <w:bCs/>
          <w:i w:val="0"/>
          <w:iCs w:val="0"/>
          <w:noProof/>
          <w:color w:val="767171"/>
          <w:sz w:val="24"/>
          <w:szCs w:val="24"/>
          <w:lang w:val="es-DO"/>
        </w:rPr>
        <w:t>1</w:t>
      </w:r>
      <w:r w:rsidRPr="00310D52">
        <w:rPr>
          <w:b/>
          <w:bCs/>
          <w:i w:val="0"/>
          <w:iCs w:val="0"/>
          <w:color w:val="767171"/>
          <w:sz w:val="24"/>
          <w:szCs w:val="24"/>
          <w:lang w:val="es-DO"/>
        </w:rPr>
        <w:fldChar w:fldCharType="end"/>
      </w:r>
      <w:r w:rsidRPr="00310D52">
        <w:rPr>
          <w:b/>
          <w:bCs/>
          <w:i w:val="0"/>
          <w:iCs w:val="0"/>
          <w:color w:val="767171"/>
          <w:sz w:val="24"/>
          <w:szCs w:val="24"/>
          <w:lang w:val="es-DO"/>
        </w:rPr>
        <w:t>: Resultados NOBACI</w:t>
      </w:r>
    </w:p>
    <w:p w14:paraId="7462C135" w14:textId="5F10DB0F" w:rsidR="00F75DF1" w:rsidRPr="00310D52" w:rsidRDefault="00A52ABC" w:rsidP="00F75DF1">
      <w:pPr>
        <w:spacing w:after="0" w:line="360" w:lineRule="auto"/>
        <w:jc w:val="both"/>
        <w:rPr>
          <w:i/>
          <w:iCs/>
          <w:sz w:val="18"/>
          <w:szCs w:val="18"/>
          <w:lang w:val="es-DO"/>
        </w:rPr>
      </w:pPr>
      <w:r w:rsidRPr="00310D52">
        <w:rPr>
          <w:rFonts w:eastAsia="Calibri"/>
          <w:noProof/>
          <w:lang w:val="es-DO"/>
        </w:rPr>
        <w:object w:dxaOrig="5971" w:dyaOrig="2459" w14:anchorId="24B0A84A">
          <v:shape id="_x0000_i1032" type="#_x0000_t75" style="width:298.5pt;height:123pt" o:ole="">
            <v:imagedata r:id="rId31" o:title=""/>
          </v:shape>
          <o:OLEObject Type="Embed" ProgID="Excel.Sheet.12" ShapeID="_x0000_i1032" DrawAspect="Content" ObjectID="_1832144372" r:id="rId32"/>
        </w:object>
      </w:r>
    </w:p>
    <w:p w14:paraId="0B9B16A0" w14:textId="77777777" w:rsidR="00F75DF1" w:rsidRPr="00310D52" w:rsidRDefault="00F75DF1" w:rsidP="00F75DF1">
      <w:pPr>
        <w:spacing w:after="0" w:line="360" w:lineRule="auto"/>
        <w:jc w:val="both"/>
        <w:rPr>
          <w:rFonts w:eastAsia="Calibri"/>
          <w:noProof/>
          <w:lang w:val="es-DO"/>
        </w:rPr>
      </w:pPr>
      <w:r w:rsidRPr="00310D52">
        <w:rPr>
          <w:i/>
          <w:iCs/>
          <w:sz w:val="18"/>
          <w:szCs w:val="18"/>
          <w:lang w:val="es-DO"/>
        </w:rPr>
        <w:t>Fuente: Sistema de Diagnóstico NOBACI</w:t>
      </w:r>
    </w:p>
    <w:p w14:paraId="57BFC214" w14:textId="77777777" w:rsidR="00F75DF1" w:rsidRPr="00310D52" w:rsidRDefault="00F75DF1" w:rsidP="00F75DF1">
      <w:pPr>
        <w:spacing w:line="360" w:lineRule="auto"/>
        <w:jc w:val="both"/>
        <w:rPr>
          <w:rFonts w:eastAsia="Calibri"/>
          <w:noProof/>
          <w:lang w:val="es-DO"/>
        </w:rPr>
      </w:pPr>
    </w:p>
    <w:p w14:paraId="72855DD1" w14:textId="77777777" w:rsidR="00F75DF1" w:rsidRPr="00310D52" w:rsidRDefault="00F75DF1" w:rsidP="00F75DF1">
      <w:pPr>
        <w:spacing w:line="360" w:lineRule="auto"/>
        <w:jc w:val="both"/>
        <w:rPr>
          <w:rFonts w:eastAsia="Calibri"/>
          <w:b/>
          <w:bCs/>
          <w:noProof/>
          <w:lang w:val="es-DO"/>
        </w:rPr>
      </w:pPr>
      <w:r w:rsidRPr="00310D52">
        <w:rPr>
          <w:rFonts w:eastAsia="Calibri"/>
          <w:b/>
          <w:bCs/>
          <w:noProof/>
          <w:lang w:val="es-DO"/>
        </w:rPr>
        <w:t>Índice de Control Interno (ICI)</w:t>
      </w:r>
    </w:p>
    <w:p w14:paraId="11FD50FB" w14:textId="7645FD7A" w:rsidR="00A52ABC" w:rsidRPr="00310D52" w:rsidRDefault="003310D1" w:rsidP="00F75DF1">
      <w:pPr>
        <w:spacing w:line="360" w:lineRule="auto"/>
        <w:jc w:val="both"/>
        <w:rPr>
          <w:rFonts w:eastAsia="Calibri"/>
          <w:noProof/>
          <w:lang w:val="es-DO"/>
        </w:rPr>
      </w:pPr>
      <w:r w:rsidRPr="00310D52">
        <w:rPr>
          <w:rFonts w:eastAsia="Calibri"/>
          <w:noProof/>
          <w:lang w:val="es-DO"/>
        </w:rPr>
        <w:t xml:space="preserve">El Índice de Control Interno (ICI), evaluado por la Contraloría General de la República, mide el nivel de cumplimiento del control interno en las instituciones públicas. Este indicador agrupa 17 subindicadores distribuidos en tres macrocomponentes: diseño y documentación del sistema de control interno, eficacia de los controles internos y resultados y seguimiento de auditorías. Durante el período evaluado, </w:t>
      </w:r>
      <w:bookmarkStart w:id="39" w:name="_Hlk216337209"/>
      <w:r w:rsidRPr="00310D52">
        <w:rPr>
          <w:rFonts w:eastAsia="Calibri"/>
          <w:noProof/>
          <w:lang w:val="es-DO"/>
        </w:rPr>
        <w:t>la institución alcanzó un promedio general de cumplimiento del 92%,</w:t>
      </w:r>
      <w:r w:rsidRPr="00310D52">
        <w:rPr>
          <w:rFonts w:eastAsia="Calibri"/>
          <w:b/>
          <w:bCs/>
          <w:noProof/>
          <w:lang w:val="es-DO"/>
        </w:rPr>
        <w:t xml:space="preserve"> </w:t>
      </w:r>
      <w:r w:rsidRPr="00310D52">
        <w:rPr>
          <w:rFonts w:eastAsia="Calibri"/>
          <w:noProof/>
          <w:lang w:val="es-DO"/>
        </w:rPr>
        <w:t xml:space="preserve">reflejando un desempeño robusto y alineado con los estándares de control interno, eficiencia y rendición de cuentas del </w:t>
      </w:r>
      <w:r w:rsidR="00310D52" w:rsidRPr="00310D52">
        <w:rPr>
          <w:rFonts w:eastAsia="Calibri"/>
          <w:noProof/>
          <w:lang w:val="es-DO"/>
        </w:rPr>
        <w:t>estado</w:t>
      </w:r>
      <w:r w:rsidRPr="00310D52">
        <w:rPr>
          <w:rFonts w:eastAsia="Calibri"/>
          <w:noProof/>
          <w:lang w:val="es-DO"/>
        </w:rPr>
        <w:t>.</w:t>
      </w:r>
    </w:p>
    <w:p w14:paraId="56999FFE" w14:textId="77777777" w:rsidR="00F75DF1" w:rsidRPr="00F06D9C" w:rsidRDefault="00F75DF1" w:rsidP="003E00B8">
      <w:pPr>
        <w:pStyle w:val="Prrafodelista"/>
        <w:keepNext/>
        <w:keepLines/>
        <w:numPr>
          <w:ilvl w:val="0"/>
          <w:numId w:val="18"/>
        </w:numPr>
        <w:spacing w:before="240" w:after="0" w:line="360" w:lineRule="auto"/>
        <w:ind w:left="0"/>
        <w:outlineLvl w:val="0"/>
        <w:rPr>
          <w:rFonts w:eastAsiaTheme="majorEastAsia"/>
          <w:b/>
          <w:spacing w:val="0"/>
          <w:szCs w:val="28"/>
          <w:lang w:val="es-DO"/>
        </w:rPr>
      </w:pPr>
      <w:bookmarkStart w:id="40" w:name="_Toc153439499"/>
      <w:bookmarkStart w:id="41" w:name="_Toc184936522"/>
      <w:bookmarkStart w:id="42" w:name="_Toc217050895"/>
      <w:bookmarkEnd w:id="39"/>
      <w:r w:rsidRPr="00F06D9C">
        <w:rPr>
          <w:rFonts w:eastAsiaTheme="majorEastAsia"/>
          <w:b/>
          <w:spacing w:val="0"/>
          <w:szCs w:val="28"/>
          <w:lang w:val="es-DO"/>
        </w:rPr>
        <w:t>Resultados de los Sistemas de Calidad</w:t>
      </w:r>
      <w:bookmarkEnd w:id="40"/>
      <w:bookmarkEnd w:id="41"/>
      <w:bookmarkEnd w:id="42"/>
    </w:p>
    <w:p w14:paraId="44F55A8B" w14:textId="1D436888" w:rsidR="003310D1" w:rsidRPr="00310D52" w:rsidRDefault="003310D1" w:rsidP="003310D1">
      <w:pPr>
        <w:spacing w:line="360" w:lineRule="auto"/>
        <w:jc w:val="both"/>
        <w:rPr>
          <w:rFonts w:eastAsia="Calibri"/>
          <w:noProof/>
          <w:lang w:val="es-DO"/>
        </w:rPr>
      </w:pPr>
      <w:r w:rsidRPr="00310D52">
        <w:rPr>
          <w:rFonts w:eastAsia="Calibri"/>
          <w:noProof/>
          <w:lang w:val="es-DO"/>
        </w:rPr>
        <w:t xml:space="preserve">La Dirección de Servicios de Atención a Emergencias Extrahospitalarias avanza en la implementación de un Sistema de Gestión de la Calidad, tomando como referencia el Modelo de Excelencia CAF y la Norma ISO 9001:2015. Como parte de este proceso, se cuenta con un Mapa de Procesos Institucional que identifica y organiza los procesos estratégicos, misionales, de apoyo, evaluación y mejora </w:t>
      </w:r>
      <w:r w:rsidRPr="00310D52">
        <w:rPr>
          <w:rFonts w:eastAsia="Calibri"/>
          <w:noProof/>
          <w:lang w:val="es-DO"/>
        </w:rPr>
        <w:lastRenderedPageBreak/>
        <w:t>continua, facilitando la comprensión de cómo se articulan las áreas y de los roles y responsabilidades dentro de cada proceso.</w:t>
      </w:r>
    </w:p>
    <w:p w14:paraId="5E9BC7DC" w14:textId="139F6F53" w:rsidR="00F75DF1" w:rsidRPr="00310D52" w:rsidRDefault="003310D1" w:rsidP="003310D1">
      <w:pPr>
        <w:spacing w:line="360" w:lineRule="auto"/>
        <w:jc w:val="both"/>
        <w:rPr>
          <w:rFonts w:eastAsia="Calibri"/>
          <w:noProof/>
          <w:lang w:val="es-DO"/>
        </w:rPr>
      </w:pPr>
      <w:r w:rsidRPr="00310D52">
        <w:rPr>
          <w:rFonts w:eastAsia="Calibri"/>
          <w:noProof/>
          <w:lang w:val="es-DO"/>
        </w:rPr>
        <w:t>Durante el 2025 se inició la autoevaluación del Modelo CAF, actualmente en su fase inicial de levantamiento de información. Este diagnóstico permitirá identificar el nivel de madurez institucional, las oportunidades de mejora y las acciones prioritarias para fortalecer la calidad del servicio. Estas iniciativas consolidan el compromiso de la institución con la mejora continua, la eficiencia operativa y el cumplimiento de estándares que aseguren una respuesta oportuna y de calidad a los usuarios.</w:t>
      </w:r>
    </w:p>
    <w:p w14:paraId="389CD0B5" w14:textId="523553AE" w:rsidR="003310D1" w:rsidRPr="00310D52" w:rsidRDefault="003E00B8" w:rsidP="003310D1">
      <w:pPr>
        <w:spacing w:line="360" w:lineRule="auto"/>
        <w:jc w:val="both"/>
        <w:rPr>
          <w:rFonts w:eastAsia="Calibri"/>
          <w:noProof/>
          <w:lang w:val="es-DO"/>
        </w:rPr>
      </w:pPr>
      <w:r w:rsidRPr="00310D52">
        <w:rPr>
          <w:rFonts w:eastAsia="Calibri"/>
          <w:noProof/>
          <w:lang w:val="es-DO"/>
        </w:rPr>
        <w:t>Durante el período se fortalecieron los procesos de evaluación, monitoreo y análisis de desempeño operacional, abarcando investigaciones de casos relevantes, supervisión del personal durante las operaciones y revisión de situaciones con tiempos elevados de respuesta. Estos ejercicios permitieron identificar oportunidades de mejora, validar el cumplimiento de los protocolos y generar recomendaciones basadas en evidencia para optimizar la coordinación, el despacho y la respuesta asistencial. El conjunto de estas acciones contribuye al aseguramiento de la calidad y a la mejora continua del servicio brindado a la ciudadanía.</w:t>
      </w:r>
    </w:p>
    <w:p w14:paraId="38987145" w14:textId="296898A1" w:rsidR="003310D1" w:rsidRPr="00310D52" w:rsidRDefault="003E00B8" w:rsidP="00F75DF1">
      <w:pPr>
        <w:spacing w:after="0" w:line="360" w:lineRule="auto"/>
        <w:jc w:val="both"/>
        <w:rPr>
          <w:rFonts w:eastAsia="Calibri"/>
          <w:noProof/>
          <w:lang w:val="es-DO"/>
        </w:rPr>
      </w:pPr>
      <w:r w:rsidRPr="00310D52">
        <w:rPr>
          <w:rFonts w:eastAsia="Calibri"/>
          <w:noProof/>
          <w:lang w:val="es-DO"/>
        </w:rPr>
        <w:object w:dxaOrig="10970" w:dyaOrig="4288" w14:anchorId="046B5A99">
          <v:shape id="_x0000_i1033" type="#_x0000_t75" style="width:432.75pt;height:214.5pt" o:ole="">
            <v:imagedata r:id="rId33" o:title=""/>
          </v:shape>
          <o:OLEObject Type="Embed" ProgID="Excel.Sheet.12" ShapeID="_x0000_i1033" DrawAspect="Content" ObjectID="_1832144373" r:id="rId34"/>
        </w:object>
      </w:r>
    </w:p>
    <w:p w14:paraId="287FA51B" w14:textId="7804C82A" w:rsidR="00F75DF1" w:rsidRPr="00310D52" w:rsidRDefault="003E00B8" w:rsidP="00F75DF1">
      <w:pPr>
        <w:spacing w:after="0" w:line="360" w:lineRule="auto"/>
        <w:jc w:val="both"/>
        <w:rPr>
          <w:rFonts w:eastAsia="Calibri"/>
          <w:i/>
          <w:iCs/>
          <w:noProof/>
          <w:lang w:val="es-DO"/>
        </w:rPr>
      </w:pPr>
      <w:r w:rsidRPr="00310D52">
        <w:rPr>
          <w:rFonts w:eastAsia="Calibri"/>
          <w:i/>
          <w:iCs/>
          <w:noProof/>
          <w:sz w:val="18"/>
          <w:szCs w:val="18"/>
          <w:lang w:val="es-DO"/>
        </w:rPr>
        <w:t xml:space="preserve">Fuente: </w:t>
      </w:r>
      <w:r w:rsidR="003E092F" w:rsidRPr="00310D52">
        <w:rPr>
          <w:rFonts w:eastAsia="Calibri"/>
          <w:i/>
          <w:iCs/>
          <w:noProof/>
          <w:sz w:val="18"/>
          <w:szCs w:val="18"/>
          <w:lang w:val="es-DO"/>
        </w:rPr>
        <w:t xml:space="preserve">Área de </w:t>
      </w:r>
      <w:r w:rsidRPr="00310D52">
        <w:rPr>
          <w:rFonts w:eastAsia="Calibri"/>
          <w:i/>
          <w:iCs/>
          <w:noProof/>
          <w:sz w:val="18"/>
          <w:szCs w:val="18"/>
          <w:lang w:val="es-DO"/>
        </w:rPr>
        <w:t>Control y Evaluación Prehospitalaria</w:t>
      </w:r>
    </w:p>
    <w:p w14:paraId="43EDD274" w14:textId="77777777" w:rsidR="00F75DF1" w:rsidRPr="00F06D9C" w:rsidRDefault="00F75DF1" w:rsidP="003E00B8">
      <w:pPr>
        <w:pStyle w:val="Prrafodelista"/>
        <w:keepNext/>
        <w:keepLines/>
        <w:numPr>
          <w:ilvl w:val="0"/>
          <w:numId w:val="18"/>
        </w:numPr>
        <w:spacing w:before="240" w:after="0" w:line="360" w:lineRule="auto"/>
        <w:ind w:left="0"/>
        <w:outlineLvl w:val="0"/>
        <w:rPr>
          <w:rFonts w:eastAsiaTheme="majorEastAsia"/>
          <w:b/>
          <w:spacing w:val="0"/>
          <w:szCs w:val="28"/>
          <w:lang w:val="es-DO"/>
        </w:rPr>
      </w:pPr>
      <w:bookmarkStart w:id="43" w:name="_Toc153439500"/>
      <w:bookmarkStart w:id="44" w:name="_Toc184936523"/>
      <w:bookmarkStart w:id="45" w:name="_Toc217050896"/>
      <w:r w:rsidRPr="00F06D9C">
        <w:rPr>
          <w:rFonts w:eastAsiaTheme="majorEastAsia"/>
          <w:b/>
          <w:spacing w:val="0"/>
          <w:szCs w:val="28"/>
          <w:lang w:val="es-DO"/>
        </w:rPr>
        <w:t>Acciones para el Fortalecimiento Institucional</w:t>
      </w:r>
      <w:bookmarkEnd w:id="43"/>
      <w:bookmarkEnd w:id="44"/>
      <w:bookmarkEnd w:id="45"/>
    </w:p>
    <w:p w14:paraId="15AF7739" w14:textId="77777777" w:rsidR="00F75DF1" w:rsidRPr="00310D52" w:rsidRDefault="00F75DF1" w:rsidP="00F75DF1">
      <w:pPr>
        <w:spacing w:line="360" w:lineRule="auto"/>
        <w:jc w:val="both"/>
        <w:rPr>
          <w:rFonts w:eastAsia="Calibri"/>
          <w:noProof/>
          <w:lang w:val="es-DO"/>
        </w:rPr>
      </w:pPr>
      <w:r w:rsidRPr="00310D52">
        <w:rPr>
          <w:rFonts w:eastAsia="Calibri"/>
          <w:noProof/>
          <w:lang w:val="es-DO"/>
        </w:rPr>
        <w:t>En este año, con el objetivo de realizar acciones de mejora en todas las áreas de la institución, se crearon y actualizaron documentos del Sistema de Gestión de Calidad, el cual está compuesto por los instructivos, formularios y fichas de procesos de las diversas áreas de la institución. Dichos documentos se distribuyen de acuerdo con la siguiente tabla:</w:t>
      </w:r>
    </w:p>
    <w:p w14:paraId="73A4917C" w14:textId="24041F84" w:rsidR="00F75DF1" w:rsidRPr="00310D52" w:rsidRDefault="002E0ED0" w:rsidP="00F75DF1">
      <w:pPr>
        <w:spacing w:after="0" w:line="360" w:lineRule="auto"/>
        <w:jc w:val="both"/>
        <w:rPr>
          <w:rFonts w:eastAsia="Calibri"/>
          <w:i/>
          <w:iCs/>
          <w:noProof/>
          <w:sz w:val="18"/>
          <w:szCs w:val="18"/>
          <w:lang w:val="es-DO"/>
        </w:rPr>
      </w:pPr>
      <w:r w:rsidRPr="00310D52">
        <w:rPr>
          <w:rFonts w:eastAsia="Calibri"/>
          <w:i/>
          <w:iCs/>
          <w:noProof/>
          <w:sz w:val="18"/>
          <w:szCs w:val="18"/>
          <w:lang w:val="es-DO"/>
        </w:rPr>
        <w:object w:dxaOrig="4635" w:dyaOrig="2764" w14:anchorId="4D39D847">
          <v:shape id="_x0000_i1034" type="#_x0000_t75" style="width:231.75pt;height:138pt" o:ole="">
            <v:imagedata r:id="rId35" o:title=""/>
          </v:shape>
          <o:OLEObject Type="Embed" ProgID="Excel.Sheet.12" ShapeID="_x0000_i1034" DrawAspect="Content" ObjectID="_1832144374" r:id="rId36"/>
        </w:object>
      </w:r>
    </w:p>
    <w:p w14:paraId="0B6E3990" w14:textId="6C319D3C" w:rsidR="00F75DF1" w:rsidRPr="00310D52" w:rsidRDefault="0035673A" w:rsidP="00F75DF1">
      <w:pPr>
        <w:spacing w:after="0" w:line="360" w:lineRule="auto"/>
        <w:jc w:val="both"/>
        <w:rPr>
          <w:rFonts w:eastAsia="Calibri"/>
          <w:i/>
          <w:iCs/>
          <w:noProof/>
          <w:lang w:val="es-DO"/>
        </w:rPr>
      </w:pPr>
      <w:r w:rsidRPr="00310D52">
        <w:rPr>
          <w:rFonts w:eastAsia="Calibri"/>
          <w:i/>
          <w:iCs/>
          <w:noProof/>
          <w:sz w:val="18"/>
          <w:szCs w:val="18"/>
          <w:lang w:val="es-DO"/>
        </w:rPr>
        <w:t xml:space="preserve">Fuente; </w:t>
      </w:r>
      <w:r w:rsidR="00F75DF1" w:rsidRPr="00310D52">
        <w:rPr>
          <w:rFonts w:eastAsia="Calibri"/>
          <w:i/>
          <w:iCs/>
          <w:noProof/>
          <w:sz w:val="18"/>
          <w:szCs w:val="18"/>
          <w:lang w:val="es-DO"/>
        </w:rPr>
        <w:t>División de Calidad en la Gestión</w:t>
      </w:r>
    </w:p>
    <w:p w14:paraId="7704B998" w14:textId="77777777" w:rsidR="003E00B8" w:rsidRPr="00310D52" w:rsidRDefault="003E00B8" w:rsidP="00F75DF1">
      <w:pPr>
        <w:spacing w:line="360" w:lineRule="auto"/>
        <w:jc w:val="both"/>
        <w:rPr>
          <w:rFonts w:eastAsia="Calibri"/>
          <w:noProof/>
          <w:lang w:val="es-DO"/>
        </w:rPr>
      </w:pPr>
    </w:p>
    <w:p w14:paraId="564FF0E4" w14:textId="77777777" w:rsidR="004218D4" w:rsidRPr="00310D52" w:rsidRDefault="004218D4" w:rsidP="00F75DF1">
      <w:pPr>
        <w:spacing w:line="360" w:lineRule="auto"/>
        <w:jc w:val="both"/>
        <w:rPr>
          <w:rFonts w:eastAsia="Calibri"/>
          <w:noProof/>
          <w:lang w:val="es-DO"/>
        </w:rPr>
      </w:pPr>
    </w:p>
    <w:p w14:paraId="3D889938" w14:textId="47A380F5" w:rsidR="00F75DF1" w:rsidRPr="00F06D9C" w:rsidRDefault="00F75DF1" w:rsidP="00F75DF1">
      <w:pPr>
        <w:pStyle w:val="Prrafodelista"/>
        <w:keepNext/>
        <w:keepLines/>
        <w:numPr>
          <w:ilvl w:val="0"/>
          <w:numId w:val="18"/>
        </w:numPr>
        <w:spacing w:before="240" w:after="0" w:line="360" w:lineRule="auto"/>
        <w:ind w:left="0"/>
        <w:outlineLvl w:val="0"/>
        <w:rPr>
          <w:rFonts w:eastAsiaTheme="majorEastAsia"/>
          <w:b/>
          <w:spacing w:val="0"/>
          <w:szCs w:val="28"/>
          <w:lang w:val="es-DO"/>
        </w:rPr>
      </w:pPr>
      <w:bookmarkStart w:id="46" w:name="_Toc153439501"/>
      <w:bookmarkStart w:id="47" w:name="_Toc172110844"/>
      <w:bookmarkStart w:id="48" w:name="_Toc184936524"/>
      <w:bookmarkStart w:id="49" w:name="_Toc217050897"/>
      <w:r w:rsidRPr="00F06D9C">
        <w:rPr>
          <w:rFonts w:eastAsiaTheme="majorEastAsia"/>
          <w:b/>
          <w:spacing w:val="0"/>
          <w:szCs w:val="28"/>
          <w:lang w:val="es-DO"/>
        </w:rPr>
        <w:lastRenderedPageBreak/>
        <w:t>Avances en la Implementación de las Políticas Transversales</w:t>
      </w:r>
      <w:bookmarkEnd w:id="46"/>
      <w:bookmarkEnd w:id="47"/>
      <w:bookmarkEnd w:id="48"/>
      <w:bookmarkEnd w:id="49"/>
    </w:p>
    <w:p w14:paraId="3C6ADE6C" w14:textId="4235BAF4" w:rsidR="00F75DF1" w:rsidRPr="00310D52" w:rsidRDefault="003E00B8" w:rsidP="00F75DF1">
      <w:pPr>
        <w:spacing w:line="360" w:lineRule="auto"/>
        <w:jc w:val="both"/>
        <w:rPr>
          <w:rFonts w:eastAsia="Calibri"/>
          <w:noProof/>
          <w:lang w:val="es-DO"/>
        </w:rPr>
      </w:pPr>
      <w:r w:rsidRPr="00310D52">
        <w:rPr>
          <w:rFonts w:eastAsia="Calibri"/>
          <w:noProof/>
          <w:lang w:val="es-DO"/>
        </w:rPr>
        <w:t>Se ha avazando en la creación y fortalecimiento de los mecanismos institucionales necesarios para implementar las políticas transversales promovidas por el Estado. Aunque la institución aún no forma parte del grupo de entidades evaluadas formalmente bajo estos componentes, se han sentado las bases para mejorar el monitoreo y la toma de decisiones, integrando enfoques de gobernanza, calidad, transparencia y gestión de riesgos en los procesos internos. Estas acciones incrementan progresivamente la capacidad institucional para generar valor público, asegurar el acceso oportuno a los servicios de atención extrahospitalaria e incidir positivamente en la calidad de vida de la población.</w:t>
      </w:r>
    </w:p>
    <w:p w14:paraId="25F945BA" w14:textId="22A7FE3D" w:rsidR="00F75DF1" w:rsidRPr="00F06D9C" w:rsidRDefault="003E00B8" w:rsidP="003E00B8">
      <w:pPr>
        <w:pStyle w:val="Prrafodelista"/>
        <w:keepNext/>
        <w:keepLines/>
        <w:numPr>
          <w:ilvl w:val="0"/>
          <w:numId w:val="18"/>
        </w:numPr>
        <w:spacing w:before="240" w:after="0" w:line="360" w:lineRule="auto"/>
        <w:ind w:left="0"/>
        <w:outlineLvl w:val="0"/>
        <w:rPr>
          <w:rFonts w:eastAsiaTheme="majorEastAsia"/>
          <w:b/>
          <w:spacing w:val="0"/>
          <w:szCs w:val="28"/>
          <w:lang w:val="es-DO"/>
        </w:rPr>
      </w:pPr>
      <w:bookmarkStart w:id="50" w:name="_Toc217050898"/>
      <w:r w:rsidRPr="00F06D9C">
        <w:rPr>
          <w:rFonts w:eastAsiaTheme="majorEastAsia"/>
          <w:b/>
          <w:spacing w:val="0"/>
          <w:szCs w:val="28"/>
          <w:lang w:val="es-DO"/>
        </w:rPr>
        <w:t>Resultados o Avances en la Implementación de la Evaluación de Desempeño Institucional</w:t>
      </w:r>
      <w:r w:rsidR="002F2305" w:rsidRPr="00F06D9C">
        <w:rPr>
          <w:rFonts w:eastAsiaTheme="majorEastAsia"/>
          <w:b/>
          <w:spacing w:val="0"/>
          <w:szCs w:val="28"/>
          <w:lang w:val="es-DO"/>
        </w:rPr>
        <w:t xml:space="preserve"> (EDI).</w:t>
      </w:r>
      <w:bookmarkEnd w:id="50"/>
    </w:p>
    <w:p w14:paraId="4CB3E789" w14:textId="359298E6" w:rsidR="003E00B8" w:rsidRPr="00310D52" w:rsidRDefault="003E00B8" w:rsidP="00F75DF1">
      <w:pPr>
        <w:spacing w:line="360" w:lineRule="auto"/>
        <w:jc w:val="both"/>
        <w:rPr>
          <w:rFonts w:eastAsia="Calibri"/>
          <w:noProof/>
          <w:lang w:val="es-DO"/>
        </w:rPr>
      </w:pPr>
      <w:r w:rsidRPr="00310D52">
        <w:rPr>
          <w:rFonts w:eastAsia="Calibri"/>
          <w:noProof/>
          <w:lang w:val="es-DO"/>
        </w:rPr>
        <w:t>Se avanzó en el proceso de articulación con el ente rector para la futura incorporación de la institución a las 45 entidades actualmente medidas por la Evaluación de Desempeño Institucional (EDI). Aunque la DAEH aún no forma parte del sistema de evaluación, se han dado pasos concretos para su integración, incluyendo la participación en el Taller sobre el Indicador IBOG4, impartido por el Ministerio de Economía, Planificación y Desarrollo. Esta capacitación permitió conocer la metodología de construcción del indicador y su clasificación presupuestaria, fortaleciendo las capacidades institucionales para implementar la política transversal de gestión integral del riesgo y prepararse para su medición formal en el marco del EDI.</w:t>
      </w:r>
    </w:p>
    <w:p w14:paraId="45F24FFA" w14:textId="77777777" w:rsidR="003E00B8" w:rsidRPr="00310D52" w:rsidRDefault="003E00B8" w:rsidP="00F75DF1">
      <w:pPr>
        <w:spacing w:line="360" w:lineRule="auto"/>
        <w:jc w:val="both"/>
        <w:rPr>
          <w:rFonts w:eastAsia="Calibri"/>
          <w:noProof/>
          <w:lang w:val="es-DO"/>
        </w:rPr>
      </w:pPr>
    </w:p>
    <w:p w14:paraId="3689A8ED" w14:textId="0640BAF9" w:rsidR="003E00B8" w:rsidRPr="00F06D9C" w:rsidRDefault="003E00B8" w:rsidP="003E00B8">
      <w:pPr>
        <w:pStyle w:val="Prrafodelista"/>
        <w:keepNext/>
        <w:keepLines/>
        <w:numPr>
          <w:ilvl w:val="1"/>
          <w:numId w:val="1"/>
        </w:numPr>
        <w:spacing w:before="240" w:after="0" w:line="360" w:lineRule="auto"/>
        <w:ind w:left="0"/>
        <w:jc w:val="both"/>
        <w:outlineLvl w:val="0"/>
        <w:rPr>
          <w:rFonts w:eastAsiaTheme="majorEastAsia"/>
          <w:b/>
          <w:spacing w:val="0"/>
          <w:szCs w:val="28"/>
          <w:lang w:val="es-DO"/>
        </w:rPr>
      </w:pPr>
      <w:bookmarkStart w:id="51" w:name="_Toc217050899"/>
      <w:r w:rsidRPr="00F06D9C">
        <w:rPr>
          <w:rFonts w:eastAsiaTheme="majorEastAsia"/>
          <w:b/>
          <w:spacing w:val="0"/>
          <w:szCs w:val="28"/>
          <w:lang w:val="es-DO"/>
        </w:rPr>
        <w:lastRenderedPageBreak/>
        <w:t>Desempeño del Área de Comunicaciones</w:t>
      </w:r>
      <w:bookmarkEnd w:id="51"/>
    </w:p>
    <w:p w14:paraId="3106BE2D" w14:textId="1E75D90B" w:rsidR="00D16900" w:rsidRPr="00310D52" w:rsidRDefault="00D16900" w:rsidP="00D16900">
      <w:pPr>
        <w:spacing w:line="360" w:lineRule="auto"/>
        <w:jc w:val="both"/>
        <w:rPr>
          <w:rFonts w:eastAsia="Calibri"/>
          <w:noProof/>
          <w:lang w:val="es-DO"/>
        </w:rPr>
      </w:pPr>
      <w:r w:rsidRPr="00310D52">
        <w:rPr>
          <w:rFonts w:eastAsia="Calibri"/>
          <w:noProof/>
          <w:lang w:val="es-DO"/>
        </w:rPr>
        <w:t>Durante el año 2025, el área de comunicaciones desarrolló un conjunto de acciones estratégicas orientadas a fortalecer la transparencia institucional, posicionar la labor de la entidad y consolidar una imagen pública basada en servicio, eficiencia y rápida respuesta ante emergencias. La gestión combinó esfuerzos de prensa, producción de contenido, cobertura institucional, comunicación interna y fortalecimiento de la presencia digital, logrando ampliar significativamente el alcance y la visibilidad de la institución.</w:t>
      </w:r>
    </w:p>
    <w:p w14:paraId="15395EC4" w14:textId="2A142F86" w:rsidR="00D16900" w:rsidRPr="00310D52" w:rsidRDefault="00D16900" w:rsidP="00D16900">
      <w:pPr>
        <w:spacing w:line="360" w:lineRule="auto"/>
        <w:jc w:val="both"/>
        <w:rPr>
          <w:rFonts w:eastAsia="Calibri"/>
          <w:noProof/>
          <w:lang w:val="es-DO"/>
        </w:rPr>
      </w:pPr>
      <w:r w:rsidRPr="00310D52">
        <w:rPr>
          <w:rFonts w:eastAsia="Calibri"/>
          <w:noProof/>
          <w:lang w:val="es-DO"/>
        </w:rPr>
        <w:t>En materia de relacionamiento con los medios, se emitieron 21 notas de prensa distribuidas a medios televisivos, radiales e impresos, y se publicaron 38 notas informativas en el portal web institucional, con el propósito de mantener informada a la ciudadanía sobre los principales avances, operativos, reconocimientos, inauguraciones y logros alcanzados. Los temas divulgados abarcaron desde la incorporación de nuevas ambulancias, capacitaciones especializadas y ampliación de servicios, hasta la atención de eventos de alto impacto y el reconocimiento de autoridades por su labor en el sistema de respuesta a emergencias.</w:t>
      </w:r>
    </w:p>
    <w:p w14:paraId="73922C86" w14:textId="77777777" w:rsidR="002F2305" w:rsidRPr="00310D52" w:rsidRDefault="00D16900" w:rsidP="00D16900">
      <w:pPr>
        <w:spacing w:line="360" w:lineRule="auto"/>
        <w:jc w:val="both"/>
        <w:rPr>
          <w:rFonts w:eastAsia="Calibri"/>
          <w:noProof/>
          <w:lang w:val="es-DO"/>
        </w:rPr>
      </w:pPr>
      <w:r w:rsidRPr="00310D52">
        <w:rPr>
          <w:rFonts w:eastAsia="Calibri"/>
          <w:noProof/>
          <w:lang w:val="es-DO"/>
        </w:rPr>
        <w:t xml:space="preserve">En el ámbito digital, la institución experimentó un crecimiento notable en todas sus plataformas. Se difundieron 199 publicaciones estáticas y 39 videos y reels, alcanzando más de 337,300 visualizaciones en Facebook y 2,000,200 en Instagram, reflejo del interés ciudadano en el quehacer institucional. Estas acciones generaron un incremento de 573 nuevos seguidores en Facebook, 5,600 en Instagram y 60 en X (Twitter), además de 46,900 interacciones con el contenido y la atención de 313 mensajes directos. </w:t>
      </w:r>
    </w:p>
    <w:p w14:paraId="5691FCA1" w14:textId="77777777" w:rsidR="003E092F" w:rsidRPr="00310D52" w:rsidRDefault="003E092F" w:rsidP="00D16900">
      <w:pPr>
        <w:spacing w:line="360" w:lineRule="auto"/>
        <w:jc w:val="both"/>
        <w:rPr>
          <w:rFonts w:eastAsia="Calibri"/>
          <w:noProof/>
          <w:lang w:val="es-DO"/>
        </w:rPr>
      </w:pPr>
    </w:p>
    <w:p w14:paraId="4FDF7B78" w14:textId="083AC8AC" w:rsidR="00D16900" w:rsidRPr="00310D52" w:rsidRDefault="00D16900" w:rsidP="00D16900">
      <w:pPr>
        <w:spacing w:line="360" w:lineRule="auto"/>
        <w:jc w:val="both"/>
        <w:rPr>
          <w:rFonts w:eastAsia="Calibri"/>
          <w:noProof/>
          <w:lang w:val="es-DO"/>
        </w:rPr>
      </w:pPr>
      <w:r w:rsidRPr="00310D52">
        <w:rPr>
          <w:rFonts w:eastAsia="Calibri"/>
          <w:noProof/>
          <w:lang w:val="es-DO"/>
        </w:rPr>
        <w:lastRenderedPageBreak/>
        <w:t>La estrategia digital se enriqueció mediante colaboraciones con instituciones aliadas como el COE, Presidencia, Policía Nacional, Sistema 9-1-1, DIGESETT, COMIPOL y Olimpiadas Especiales RD, fortaleciendo la difusión de mensajes de prevención, operatividad y servicio.</w:t>
      </w:r>
    </w:p>
    <w:p w14:paraId="79ADED30" w14:textId="77777777" w:rsidR="00D16900" w:rsidRPr="00310D52" w:rsidRDefault="00D16900" w:rsidP="00D16900">
      <w:pPr>
        <w:jc w:val="both"/>
        <w:rPr>
          <w:lang w:val="es-DO"/>
        </w:rPr>
      </w:pPr>
      <w:r w:rsidRPr="00310D52">
        <w:rPr>
          <w:noProof/>
          <w:lang w:val="es-DO"/>
        </w:rPr>
        <w:drawing>
          <wp:anchor distT="0" distB="0" distL="114300" distR="114300" simplePos="0" relativeHeight="251741184" behindDoc="0" locked="0" layoutInCell="1" allowOverlap="1" wp14:anchorId="04A66EF9" wp14:editId="502D7079">
            <wp:simplePos x="0" y="0"/>
            <wp:positionH relativeFrom="margin">
              <wp:posOffset>3009014</wp:posOffset>
            </wp:positionH>
            <wp:positionV relativeFrom="paragraph">
              <wp:posOffset>5730</wp:posOffset>
            </wp:positionV>
            <wp:extent cx="1973689" cy="2264735"/>
            <wp:effectExtent l="0" t="0" r="7620" b="2540"/>
            <wp:wrapNone/>
            <wp:docPr id="1594667661" name="drawing" descr="Interfaz de usuario gráfica, Aplicación&#10;&#10;El contenido generado por IA puede ser incorrecto.">
              <a:extLst xmlns:a="http://schemas.openxmlformats.org/drawingml/2006/main">
                <a:ext uri="{FF2B5EF4-FFF2-40B4-BE49-F238E27FC236}">
                  <a16:creationId xmlns:a16="http://schemas.microsoft.com/office/drawing/2014/main" id="{6E184452-F15D-451C-9163-4DEEAED1D0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667661" name="drawing" descr="Interfaz de usuario gráfica, Aplicación&#10;&#10;El contenido generado por IA puede ser incorrecto."/>
                    <pic:cNvPicPr/>
                  </pic:nvPicPr>
                  <pic:blipFill>
                    <a:blip r:embed="rId37">
                      <a:extLst>
                        <a:ext uri="{28A0092B-C50C-407E-A947-70E740481C1C}">
                          <a14:useLocalDpi xmlns:a14="http://schemas.microsoft.com/office/drawing/2010/main"/>
                        </a:ext>
                      </a:extLst>
                    </a:blip>
                    <a:stretch>
                      <a:fillRect/>
                    </a:stretch>
                  </pic:blipFill>
                  <pic:spPr>
                    <a:xfrm>
                      <a:off x="0" y="0"/>
                      <a:ext cx="1983451" cy="2275937"/>
                    </a:xfrm>
                    <a:prstGeom prst="rect">
                      <a:avLst/>
                    </a:prstGeom>
                  </pic:spPr>
                </pic:pic>
              </a:graphicData>
            </a:graphic>
            <wp14:sizeRelH relativeFrom="page">
              <wp14:pctWidth>0</wp14:pctWidth>
            </wp14:sizeRelH>
            <wp14:sizeRelV relativeFrom="page">
              <wp14:pctHeight>0</wp14:pctHeight>
            </wp14:sizeRelV>
          </wp:anchor>
        </w:drawing>
      </w:r>
      <w:r w:rsidRPr="00310D52">
        <w:rPr>
          <w:noProof/>
          <w:lang w:val="es-DO"/>
        </w:rPr>
        <w:drawing>
          <wp:inline distT="0" distB="0" distL="0" distR="0" wp14:anchorId="7E40538E" wp14:editId="573D7A0A">
            <wp:extent cx="2705100" cy="2805193"/>
            <wp:effectExtent l="0" t="0" r="0" b="0"/>
            <wp:docPr id="2034787730" name="drawing" descr="Interfaz de usuario gráfica, Aplicación&#10;&#10;El contenido generado por IA puede ser incorrecto.">
              <a:extLst xmlns:a="http://schemas.openxmlformats.org/drawingml/2006/main">
                <a:ext uri="{FF2B5EF4-FFF2-40B4-BE49-F238E27FC236}">
                  <a16:creationId xmlns:a16="http://schemas.microsoft.com/office/drawing/2014/main" id="{683C4CAA-4B3A-4A13-B4E9-18DF811D30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787730" name="drawing" descr="Interfaz de usuario gráfica, Aplicación&#10;&#10;El contenido generado por IA puede ser incorrecto."/>
                    <pic:cNvPicPr/>
                  </pic:nvPicPr>
                  <pic:blipFill>
                    <a:blip r:embed="rId38">
                      <a:extLst>
                        <a:ext uri="{28A0092B-C50C-407E-A947-70E740481C1C}">
                          <a14:useLocalDpi xmlns:a14="http://schemas.microsoft.com/office/drawing/2010/main"/>
                        </a:ext>
                      </a:extLst>
                    </a:blip>
                    <a:stretch>
                      <a:fillRect/>
                    </a:stretch>
                  </pic:blipFill>
                  <pic:spPr>
                    <a:xfrm>
                      <a:off x="0" y="0"/>
                      <a:ext cx="2735735" cy="2836962"/>
                    </a:xfrm>
                    <a:prstGeom prst="rect">
                      <a:avLst/>
                    </a:prstGeom>
                  </pic:spPr>
                </pic:pic>
              </a:graphicData>
            </a:graphic>
          </wp:inline>
        </w:drawing>
      </w:r>
    </w:p>
    <w:p w14:paraId="2071519C" w14:textId="77777777" w:rsidR="00D16900" w:rsidRPr="00310D52" w:rsidRDefault="00D16900" w:rsidP="00D16900">
      <w:pPr>
        <w:jc w:val="both"/>
        <w:rPr>
          <w:lang w:val="es-DO"/>
        </w:rPr>
      </w:pPr>
      <w:r w:rsidRPr="00310D52">
        <w:rPr>
          <w:noProof/>
          <w:lang w:val="es-DO"/>
        </w:rPr>
        <w:drawing>
          <wp:anchor distT="0" distB="0" distL="114300" distR="114300" simplePos="0" relativeHeight="251740160" behindDoc="0" locked="0" layoutInCell="1" allowOverlap="1" wp14:anchorId="19ABB937" wp14:editId="37C0C70A">
            <wp:simplePos x="0" y="0"/>
            <wp:positionH relativeFrom="margin">
              <wp:align>right</wp:align>
            </wp:positionH>
            <wp:positionV relativeFrom="paragraph">
              <wp:posOffset>30583</wp:posOffset>
            </wp:positionV>
            <wp:extent cx="2319394" cy="2509284"/>
            <wp:effectExtent l="0" t="0" r="5080" b="5715"/>
            <wp:wrapNone/>
            <wp:docPr id="626293782" name="drawing" descr="Imagen que contiene Texto&#10;&#10;El contenido generado por IA puede ser incorrecto.">
              <a:extLst xmlns:a="http://schemas.openxmlformats.org/drawingml/2006/main">
                <a:ext uri="{FF2B5EF4-FFF2-40B4-BE49-F238E27FC236}">
                  <a16:creationId xmlns:a16="http://schemas.microsoft.com/office/drawing/2014/main" id="{1FC0D1A6-F145-4C5D-8ED7-519EAE0FBB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293782" name="drawing" descr="Imagen que contiene Texto&#10;&#10;El contenido generado por IA puede ser incorrecto."/>
                    <pic:cNvPicPr/>
                  </pic:nvPicPr>
                  <pic:blipFill>
                    <a:blip r:embed="rId39">
                      <a:extLst>
                        <a:ext uri="{28A0092B-C50C-407E-A947-70E740481C1C}">
                          <a14:useLocalDpi xmlns:a14="http://schemas.microsoft.com/office/drawing/2010/main"/>
                        </a:ext>
                      </a:extLst>
                    </a:blip>
                    <a:stretch>
                      <a:fillRect/>
                    </a:stretch>
                  </pic:blipFill>
                  <pic:spPr>
                    <a:xfrm>
                      <a:off x="0" y="0"/>
                      <a:ext cx="2321438" cy="2511496"/>
                    </a:xfrm>
                    <a:prstGeom prst="rect">
                      <a:avLst/>
                    </a:prstGeom>
                  </pic:spPr>
                </pic:pic>
              </a:graphicData>
            </a:graphic>
            <wp14:sizeRelH relativeFrom="page">
              <wp14:pctWidth>0</wp14:pctWidth>
            </wp14:sizeRelH>
            <wp14:sizeRelV relativeFrom="page">
              <wp14:pctHeight>0</wp14:pctHeight>
            </wp14:sizeRelV>
          </wp:anchor>
        </w:drawing>
      </w:r>
      <w:r w:rsidRPr="00310D52">
        <w:rPr>
          <w:noProof/>
          <w:lang w:val="es-DO"/>
        </w:rPr>
        <w:drawing>
          <wp:inline distT="0" distB="0" distL="0" distR="0" wp14:anchorId="0783DEAA" wp14:editId="331FA62C">
            <wp:extent cx="2147570" cy="2477386"/>
            <wp:effectExtent l="0" t="0" r="5080" b="0"/>
            <wp:docPr id="68493083" name="drawing" descr="Interfaz de usuario gráfica, Aplicación&#10;&#10;El contenido generado por IA puede ser incorrecto.">
              <a:extLst xmlns:a="http://schemas.openxmlformats.org/drawingml/2006/main">
                <a:ext uri="{FF2B5EF4-FFF2-40B4-BE49-F238E27FC236}">
                  <a16:creationId xmlns:a16="http://schemas.microsoft.com/office/drawing/2014/main" id="{E6BDA4DB-D1F6-4177-BD9A-F618789DBE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93083" name="drawing" descr="Interfaz de usuario gráfica, Aplicación&#10;&#10;El contenido generado por IA puede ser incorrecto."/>
                    <pic:cNvPicPr/>
                  </pic:nvPicPr>
                  <pic:blipFill>
                    <a:blip r:embed="rId40">
                      <a:extLst>
                        <a:ext uri="{28A0092B-C50C-407E-A947-70E740481C1C}">
                          <a14:useLocalDpi xmlns:a14="http://schemas.microsoft.com/office/drawing/2010/main"/>
                        </a:ext>
                      </a:extLst>
                    </a:blip>
                    <a:stretch>
                      <a:fillRect/>
                    </a:stretch>
                  </pic:blipFill>
                  <pic:spPr>
                    <a:xfrm>
                      <a:off x="0" y="0"/>
                      <a:ext cx="2156972" cy="2488232"/>
                    </a:xfrm>
                    <a:prstGeom prst="rect">
                      <a:avLst/>
                    </a:prstGeom>
                  </pic:spPr>
                </pic:pic>
              </a:graphicData>
            </a:graphic>
          </wp:inline>
        </w:drawing>
      </w:r>
    </w:p>
    <w:p w14:paraId="36549B39" w14:textId="3B841019" w:rsidR="00D16900" w:rsidRPr="00310D52" w:rsidRDefault="0096115E" w:rsidP="00D16900">
      <w:pPr>
        <w:jc w:val="both"/>
        <w:rPr>
          <w:i/>
          <w:iCs/>
          <w:sz w:val="18"/>
          <w:szCs w:val="18"/>
          <w:lang w:val="es-DO"/>
        </w:rPr>
      </w:pPr>
      <w:r w:rsidRPr="00310D52">
        <w:rPr>
          <w:i/>
          <w:iCs/>
          <w:sz w:val="18"/>
          <w:szCs w:val="18"/>
          <w:lang w:val="es-DO"/>
        </w:rPr>
        <w:t>Fuente: Departamento de Comunicaciones</w:t>
      </w:r>
    </w:p>
    <w:p w14:paraId="697C2767" w14:textId="7C34C078" w:rsidR="002E0ED0" w:rsidRPr="00310D52" w:rsidRDefault="002E0ED0" w:rsidP="002E0ED0">
      <w:pPr>
        <w:spacing w:line="360" w:lineRule="auto"/>
        <w:jc w:val="both"/>
        <w:rPr>
          <w:lang w:val="es-DO"/>
        </w:rPr>
      </w:pPr>
      <w:r w:rsidRPr="00310D52">
        <w:rPr>
          <w:lang w:val="es-DO"/>
        </w:rPr>
        <w:t xml:space="preserve">La comunidad digital de la institución recibe de manera continua contenido informativo y educativo sobre las operaciones, actividades institucionales y programas internos, incluyendo iniciativas como “Sin Aviso”, “5 Minutos </w:t>
      </w:r>
      <w:r w:rsidRPr="00310D52">
        <w:rPr>
          <w:lang w:val="es-DO"/>
        </w:rPr>
        <w:lastRenderedPageBreak/>
        <w:t xml:space="preserve">con el </w:t>
      </w:r>
      <w:r w:rsidR="004126E1" w:rsidRPr="00310D52">
        <w:rPr>
          <w:lang w:val="es-DO"/>
        </w:rPr>
        <w:t>director</w:t>
      </w:r>
      <w:r w:rsidRPr="00310D52">
        <w:rPr>
          <w:lang w:val="es-DO"/>
        </w:rPr>
        <w:t>”, “Director por 1 Día” y “Base Digna”, además de las visitas de inspección a las bases operativas. Este enfoque ha permitido mantener informada a la ciudadanía y a los colaboradores, fortaleciendo la conexión con la población y destacando el trabajo operativo que realiza la institución a nivel nacional.</w:t>
      </w:r>
    </w:p>
    <w:p w14:paraId="1CD87A62" w14:textId="5B008F01" w:rsidR="00D16900" w:rsidRPr="00310D52" w:rsidRDefault="002E0ED0" w:rsidP="002E0ED0">
      <w:pPr>
        <w:spacing w:line="360" w:lineRule="auto"/>
        <w:jc w:val="both"/>
        <w:rPr>
          <w:lang w:val="es-DO"/>
        </w:rPr>
      </w:pPr>
      <w:r w:rsidRPr="00310D52">
        <w:rPr>
          <w:lang w:val="es-DO"/>
        </w:rPr>
        <w:t>Asimismo, se ha logrado un impacto significativo en la orientación ciudadana durante los traslados de emergencia, especialmente a través de la campaña “Cede el Paso”, que promueve la colaboración de los conductores para facilitar el desplazamiento de las ambulancias y mejorar así los tiempos de respuesta. La interacción constante mediante comentarios y mensajes directos también ha permitido recoger retroalimentación valiosa para la mejora continua del servicio, reforzando la calidad y eficacia de la atención brindada.</w:t>
      </w:r>
    </w:p>
    <w:p w14:paraId="2981F805" w14:textId="7A1497A7" w:rsidR="00C336E5" w:rsidRPr="00310D52" w:rsidRDefault="0035673A" w:rsidP="002E0ED0">
      <w:pPr>
        <w:spacing w:line="360" w:lineRule="auto"/>
        <w:jc w:val="both"/>
        <w:rPr>
          <w:lang w:val="es-DO"/>
        </w:rPr>
      </w:pPr>
      <w:r w:rsidRPr="00310D52">
        <w:rPr>
          <w:lang w:val="es-DO"/>
        </w:rPr>
        <w:t xml:space="preserve">La comunicación interna consolidó un canal informativo a través del boletín institucional “Mes a Mes” publicado mensualmente durante todo el año 2025. Este boletín fortaleció el sentido de pertenencia, integró a las áreas operativas y administrativas, y mantuvo al personal informado sobre logros, actividades, reconocimientos y eventos institucionales durante los 12 meses. </w:t>
      </w:r>
    </w:p>
    <w:p w14:paraId="7869064D" w14:textId="77777777" w:rsidR="00C336E5" w:rsidRPr="00F06D9C" w:rsidRDefault="00C336E5" w:rsidP="00AB26E6">
      <w:pPr>
        <w:pStyle w:val="Prrafodelista"/>
        <w:keepNext/>
        <w:keepLines/>
        <w:numPr>
          <w:ilvl w:val="1"/>
          <w:numId w:val="1"/>
        </w:numPr>
        <w:spacing w:before="240" w:after="0" w:line="360" w:lineRule="auto"/>
        <w:ind w:left="0"/>
        <w:jc w:val="both"/>
        <w:outlineLvl w:val="0"/>
        <w:rPr>
          <w:rFonts w:eastAsiaTheme="majorEastAsia"/>
          <w:b/>
          <w:spacing w:val="0"/>
          <w:szCs w:val="28"/>
          <w:lang w:val="es-DO"/>
        </w:rPr>
      </w:pPr>
      <w:bookmarkStart w:id="52" w:name="_Toc217050900"/>
      <w:r w:rsidRPr="00F06D9C">
        <w:rPr>
          <w:rFonts w:eastAsiaTheme="majorEastAsia"/>
          <w:b/>
          <w:spacing w:val="0"/>
          <w:szCs w:val="28"/>
          <w:lang w:val="es-DO"/>
        </w:rPr>
        <w:t>Monitoreo y Vigilancia</w:t>
      </w:r>
      <w:bookmarkEnd w:id="52"/>
    </w:p>
    <w:p w14:paraId="7023A1FE" w14:textId="77777777" w:rsidR="00C336E5" w:rsidRPr="00310D52" w:rsidRDefault="00C336E5" w:rsidP="00C336E5">
      <w:pPr>
        <w:spacing w:line="360" w:lineRule="auto"/>
        <w:jc w:val="both"/>
        <w:rPr>
          <w:rFonts w:eastAsia="Calibri"/>
          <w:noProof/>
          <w:lang w:val="es-DO"/>
        </w:rPr>
      </w:pPr>
      <w:r w:rsidRPr="00310D52">
        <w:rPr>
          <w:rFonts w:eastAsia="Calibri"/>
          <w:noProof/>
          <w:lang w:val="es-DO"/>
        </w:rPr>
        <w:t>Durante el 2025, el Área de Monitoreo y Vigilancia fortaleció la operatividad del servicio de emergencias extrahospitalarias mediante la puesta en funcionamiento del Centro de Monitoreo, desde el cual se realiza el seguimiento en tiempo real de la ubicación y los movimientos de las ambulancias en el Gran Santo Domingo y en las provincias donde opera la institución, contribuyendo a una respuesta más oportuna y eficiente a la ciudadanía.</w:t>
      </w:r>
    </w:p>
    <w:p w14:paraId="522389CB" w14:textId="77777777" w:rsidR="00C336E5" w:rsidRPr="00310D52" w:rsidRDefault="00C336E5" w:rsidP="00C336E5">
      <w:pPr>
        <w:spacing w:line="360" w:lineRule="auto"/>
        <w:jc w:val="both"/>
        <w:rPr>
          <w:rFonts w:eastAsia="Calibri"/>
          <w:noProof/>
          <w:lang w:val="es-DO"/>
        </w:rPr>
      </w:pPr>
    </w:p>
    <w:p w14:paraId="393730D8" w14:textId="2B49A23E" w:rsidR="00CA6ABE" w:rsidRPr="00310D52" w:rsidRDefault="00CA6ABE" w:rsidP="00CA6ABE">
      <w:pPr>
        <w:spacing w:line="360" w:lineRule="auto"/>
        <w:jc w:val="both"/>
        <w:rPr>
          <w:rFonts w:eastAsia="Calibri"/>
          <w:noProof/>
          <w:lang w:val="es-DO"/>
        </w:rPr>
      </w:pPr>
      <w:r w:rsidRPr="00310D52">
        <w:rPr>
          <w:rFonts w:eastAsia="Calibri"/>
          <w:noProof/>
          <w:lang w:val="es-DO"/>
        </w:rPr>
        <w:lastRenderedPageBreak/>
        <w:t>En el marco del fortalecimiento institucional, se introdujeron equipos y plataformas digitales que sustituyeron los métodos manuales anteriormente utilizados para el registro y monitoreo de las preposiciones.</w:t>
      </w:r>
    </w:p>
    <w:p w14:paraId="27D4DBD4" w14:textId="715B594D" w:rsidR="00CA6ABE" w:rsidRPr="00310D52" w:rsidRDefault="00CA6ABE" w:rsidP="00CA6ABE">
      <w:pPr>
        <w:spacing w:line="360" w:lineRule="auto"/>
        <w:jc w:val="both"/>
        <w:rPr>
          <w:rFonts w:eastAsia="Calibri"/>
          <w:noProof/>
          <w:lang w:val="es-DO"/>
        </w:rPr>
      </w:pPr>
      <w:r w:rsidRPr="00310D52">
        <w:rPr>
          <w:rFonts w:eastAsia="Calibri"/>
          <w:noProof/>
          <w:lang w:val="es-DO"/>
        </w:rPr>
        <w:t>Se desarrollaron aplicaciones propias que facilitan el registro automático de movimientos operativos por parte de los supervisores, generando por primera vez indicadores precisos sobre:</w:t>
      </w:r>
    </w:p>
    <w:p w14:paraId="655EF903" w14:textId="143331CD"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Cobertura nacional</w:t>
      </w:r>
    </w:p>
    <w:p w14:paraId="6770F993" w14:textId="2217F560"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Movilidad de unidades</w:t>
      </w:r>
    </w:p>
    <w:p w14:paraId="0F2866BA" w14:textId="39DFBE1E"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Tiempos de salida y llegada</w:t>
      </w:r>
    </w:p>
    <w:p w14:paraId="53FD0B83" w14:textId="636A41FF"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Causas de no cobertura</w:t>
      </w:r>
    </w:p>
    <w:p w14:paraId="4088592B" w14:textId="616EDDE1"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Estadísticas operativas en tiempo real</w:t>
      </w:r>
    </w:p>
    <w:p w14:paraId="49D191C6" w14:textId="77777777" w:rsidR="00CA6ABE" w:rsidRPr="00310D52" w:rsidRDefault="00CA6ABE" w:rsidP="00CA6ABE">
      <w:pPr>
        <w:spacing w:line="360" w:lineRule="auto"/>
        <w:jc w:val="both"/>
        <w:rPr>
          <w:rFonts w:eastAsia="Calibri"/>
          <w:noProof/>
          <w:lang w:val="es-DO"/>
        </w:rPr>
      </w:pPr>
      <w:r w:rsidRPr="00310D52">
        <w:rPr>
          <w:rFonts w:eastAsia="Calibri"/>
          <w:noProof/>
          <w:lang w:val="es-DO"/>
        </w:rPr>
        <w:t>Gracias a la implementación de estos sistemas, la DAEH logró reducir la no cobertura nacional a menos de un 10% convirtiéndose en un logro institucional sin precedentes y reflejando un avance sustancial en la capacidad de respuesta del servicio.</w:t>
      </w:r>
    </w:p>
    <w:p w14:paraId="07D239E4" w14:textId="77777777" w:rsidR="00CA6ABE" w:rsidRPr="00310D52" w:rsidRDefault="00CA6ABE" w:rsidP="00CA6ABE">
      <w:pPr>
        <w:spacing w:line="360" w:lineRule="auto"/>
        <w:jc w:val="both"/>
        <w:rPr>
          <w:rFonts w:eastAsia="Calibri"/>
          <w:noProof/>
          <w:lang w:val="es-DO"/>
        </w:rPr>
      </w:pPr>
      <w:r w:rsidRPr="00310D52">
        <w:rPr>
          <w:rFonts w:eastAsia="Calibri"/>
          <w:noProof/>
          <w:lang w:val="es-DO"/>
        </w:rPr>
        <w:t>Adicionalmente, durante el periodo se integraron nuevas plataformas destinadas a:</w:t>
      </w:r>
    </w:p>
    <w:p w14:paraId="270394F4" w14:textId="19BE194B"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Detectar de manera automática las retenciones de ambulancias en hospitales, generando alertas oportunas a otras áreas.</w:t>
      </w:r>
    </w:p>
    <w:p w14:paraId="02A2E4B7" w14:textId="4B056174"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Analizar tiempos de respuesta y comportamiento operativo.</w:t>
      </w:r>
    </w:p>
    <w:p w14:paraId="3E2CF096" w14:textId="4AF46D0B"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Controlar la entrada y salida de unidades mediante registros totalmente digitalizados.</w:t>
      </w:r>
    </w:p>
    <w:p w14:paraId="75E68A38" w14:textId="5D16757F" w:rsidR="00C336E5" w:rsidRPr="00310D52" w:rsidRDefault="00CA6ABE" w:rsidP="00CA6ABE">
      <w:pPr>
        <w:spacing w:line="360" w:lineRule="auto"/>
        <w:jc w:val="both"/>
        <w:rPr>
          <w:rFonts w:eastAsia="Calibri"/>
          <w:noProof/>
          <w:lang w:val="es-DO"/>
        </w:rPr>
      </w:pPr>
      <w:r w:rsidRPr="00310D52">
        <w:rPr>
          <w:rFonts w:eastAsia="Calibri"/>
          <w:noProof/>
          <w:lang w:val="es-DO"/>
        </w:rPr>
        <w:t>Estas herramientas tecnológicas han permitido mejorar la coordinación interdepartamental y garantizar un monitoreo oportuno y eficiente de la operación diaria.</w:t>
      </w:r>
    </w:p>
    <w:p w14:paraId="23494974" w14:textId="2249AE4A" w:rsidR="00CA6ABE" w:rsidRPr="00310D52" w:rsidRDefault="00CA6ABE" w:rsidP="00CA6ABE">
      <w:pPr>
        <w:spacing w:line="360" w:lineRule="auto"/>
        <w:jc w:val="both"/>
        <w:rPr>
          <w:rFonts w:eastAsia="Calibri"/>
          <w:noProof/>
          <w:lang w:val="es-DO"/>
        </w:rPr>
      </w:pPr>
      <w:r w:rsidRPr="00310D52">
        <w:rPr>
          <w:rFonts w:eastAsia="Calibri"/>
          <w:noProof/>
          <w:lang w:val="es-DO"/>
        </w:rPr>
        <w:lastRenderedPageBreak/>
        <w:t>Los indicadores obtenidos durante este primer año evidencian el impacto directo de la modernización del sistema de Monitoreo y Vigilancia:</w:t>
      </w:r>
    </w:p>
    <w:p w14:paraId="569BF7D4" w14:textId="6E3B0E36" w:rsidR="00CA6ABE" w:rsidRPr="00310D52" w:rsidRDefault="00CA6ABE" w:rsidP="00CA6ABE">
      <w:pPr>
        <w:spacing w:line="360" w:lineRule="auto"/>
        <w:jc w:val="both"/>
        <w:rPr>
          <w:rFonts w:eastAsia="Calibri"/>
          <w:b/>
          <w:bCs/>
          <w:noProof/>
          <w:lang w:val="es-DO"/>
        </w:rPr>
      </w:pPr>
      <w:r w:rsidRPr="00310D52">
        <w:rPr>
          <w:rFonts w:eastAsia="Calibri"/>
          <w:b/>
          <w:bCs/>
          <w:noProof/>
          <w:lang w:val="es-DO"/>
        </w:rPr>
        <w:t>Tabla de Indicadores de Monitoreo Operativo 2025</w:t>
      </w:r>
    </w:p>
    <w:p w14:paraId="28517B4F" w14:textId="77777777" w:rsidR="00C336E5" w:rsidRPr="00310D52" w:rsidRDefault="00C336E5" w:rsidP="00C336E5">
      <w:pPr>
        <w:rPr>
          <w:lang w:val="es-DO"/>
        </w:rPr>
      </w:pPr>
      <w:r w:rsidRPr="00310D52">
        <w:rPr>
          <w:lang w:val="es-DO"/>
        </w:rPr>
        <w:object w:dxaOrig="7193" w:dyaOrig="4723" w14:anchorId="658D4A52">
          <v:shape id="_x0000_i1035" type="#_x0000_t75" style="width:5in;height:215.25pt" o:ole="">
            <v:imagedata r:id="rId41" o:title=""/>
          </v:shape>
          <o:OLEObject Type="Embed" ProgID="Excel.Sheet.12" ShapeID="_x0000_i1035" DrawAspect="Content" ObjectID="_1832144375" r:id="rId42"/>
        </w:object>
      </w:r>
    </w:p>
    <w:p w14:paraId="2075E2DF" w14:textId="386A1D65" w:rsidR="00C336E5" w:rsidRPr="00310D52" w:rsidRDefault="00C336E5" w:rsidP="00C336E5">
      <w:pPr>
        <w:rPr>
          <w:rFonts w:eastAsia="Calibri"/>
          <w:i/>
          <w:iCs/>
          <w:noProof/>
          <w:sz w:val="18"/>
          <w:szCs w:val="18"/>
          <w:lang w:val="es-DO"/>
        </w:rPr>
      </w:pPr>
      <w:r w:rsidRPr="00310D52">
        <w:rPr>
          <w:rFonts w:eastAsia="Calibri"/>
          <w:i/>
          <w:iCs/>
          <w:noProof/>
          <w:sz w:val="18"/>
          <w:szCs w:val="18"/>
          <w:lang w:val="es-DO"/>
        </w:rPr>
        <w:t>Fuente: Departamento de Monitoreo y Vigilancia</w:t>
      </w:r>
    </w:p>
    <w:p w14:paraId="1274C8C8" w14:textId="66D6E964" w:rsidR="00CA6ABE" w:rsidRPr="00310D52" w:rsidRDefault="00CA6ABE" w:rsidP="00CA6ABE">
      <w:pPr>
        <w:spacing w:line="360" w:lineRule="auto"/>
        <w:jc w:val="both"/>
        <w:rPr>
          <w:rFonts w:eastAsia="Calibri"/>
          <w:noProof/>
          <w:lang w:val="es-DO"/>
        </w:rPr>
      </w:pPr>
      <w:r w:rsidRPr="00310D52">
        <w:rPr>
          <w:rFonts w:eastAsia="Calibri"/>
          <w:noProof/>
          <w:lang w:val="es-DO"/>
        </w:rPr>
        <w:t>Durante el 2025 Monitoreo y Vigilancia fortaleció la gestión institucional mediante:</w:t>
      </w:r>
    </w:p>
    <w:p w14:paraId="7BDD06DF" w14:textId="0934F21A" w:rsidR="00CA6ABE" w:rsidRPr="00310D52" w:rsidRDefault="00CA6ABE" w:rsidP="00CA6ABE">
      <w:pPr>
        <w:spacing w:line="360" w:lineRule="auto"/>
        <w:jc w:val="both"/>
        <w:rPr>
          <w:rFonts w:eastAsia="Calibri"/>
          <w:noProof/>
          <w:lang w:val="es-DO"/>
        </w:rPr>
      </w:pPr>
      <w:r w:rsidRPr="00310D52">
        <w:rPr>
          <w:rFonts w:eastAsia="Calibri"/>
          <w:noProof/>
          <w:lang w:val="es-DO"/>
        </w:rPr>
        <w:t>La estandarización de los flujos de información operativa.</w:t>
      </w:r>
    </w:p>
    <w:p w14:paraId="45F12E8E" w14:textId="4C24B71A"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La generación de indicadores confiables y actualizados.</w:t>
      </w:r>
    </w:p>
    <w:p w14:paraId="54A7CC27" w14:textId="5C83B103"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El soporte tecnológico para la toma de decisiones estratégicas.</w:t>
      </w:r>
    </w:p>
    <w:p w14:paraId="444FE5C2" w14:textId="58CC9E2D"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La mejora en la coordinación interdepartamental mediante reportes automáticos.</w:t>
      </w:r>
    </w:p>
    <w:p w14:paraId="482E2B67" w14:textId="77777777" w:rsidR="00CA6ABE" w:rsidRPr="00310D52" w:rsidRDefault="00CA6ABE" w:rsidP="00CA6ABE">
      <w:pPr>
        <w:spacing w:line="360" w:lineRule="auto"/>
        <w:jc w:val="both"/>
        <w:rPr>
          <w:rFonts w:eastAsia="Calibri"/>
          <w:noProof/>
          <w:lang w:val="es-DO"/>
        </w:rPr>
      </w:pPr>
      <w:r w:rsidRPr="00310D52">
        <w:rPr>
          <w:rFonts w:eastAsia="Calibri"/>
          <w:noProof/>
          <w:lang w:val="es-DO"/>
        </w:rPr>
        <w:t>Además, se elaboraron diversos documentos técnicos esenciales para el sistema de calidad institucional, tales como:</w:t>
      </w:r>
    </w:p>
    <w:p w14:paraId="2E43E5C9" w14:textId="2FF5765C"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Protocolos de monitoreo</w:t>
      </w:r>
    </w:p>
    <w:p w14:paraId="6483FE32" w14:textId="03DBF60B"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Flujogramas de reporte</w:t>
      </w:r>
    </w:p>
    <w:p w14:paraId="5A77D231" w14:textId="08A39A33"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t>Mecanismos de seguimiento continuo</w:t>
      </w:r>
    </w:p>
    <w:p w14:paraId="20294E5C" w14:textId="0047859A" w:rsidR="00CA6ABE" w:rsidRPr="00310D52" w:rsidRDefault="00CA6ABE" w:rsidP="00CA6ABE">
      <w:pPr>
        <w:pStyle w:val="Prrafodelista"/>
        <w:numPr>
          <w:ilvl w:val="0"/>
          <w:numId w:val="28"/>
        </w:numPr>
        <w:spacing w:line="360" w:lineRule="auto"/>
        <w:jc w:val="both"/>
        <w:rPr>
          <w:rFonts w:eastAsia="Calibri"/>
          <w:noProof/>
          <w:lang w:val="es-DO"/>
        </w:rPr>
      </w:pPr>
      <w:r w:rsidRPr="00310D52">
        <w:rPr>
          <w:rFonts w:eastAsia="Calibri"/>
          <w:noProof/>
          <w:lang w:val="es-DO"/>
        </w:rPr>
        <w:lastRenderedPageBreak/>
        <w:t>Lineamientos para el análisis de tiempos operativos</w:t>
      </w:r>
    </w:p>
    <w:p w14:paraId="30E78C7E" w14:textId="6BAFE69A" w:rsidR="00CA6ABE" w:rsidRPr="00310D52" w:rsidRDefault="00CA6ABE" w:rsidP="00CA6ABE">
      <w:pPr>
        <w:spacing w:line="360" w:lineRule="auto"/>
        <w:jc w:val="both"/>
        <w:rPr>
          <w:rFonts w:eastAsia="Calibri"/>
          <w:noProof/>
          <w:lang w:val="es-DO"/>
        </w:rPr>
      </w:pPr>
      <w:r w:rsidRPr="00310D52">
        <w:rPr>
          <w:rFonts w:eastAsia="Calibri"/>
          <w:noProof/>
          <w:lang w:val="es-DO"/>
        </w:rPr>
        <w:t>Estos materiales ya forman parte del Sistema de Gestión de Calidad de la institución.</w:t>
      </w:r>
    </w:p>
    <w:p w14:paraId="027F54C9" w14:textId="3E71C91E" w:rsidR="00D16900" w:rsidRPr="00F06D9C" w:rsidRDefault="00BA6390" w:rsidP="00BA6390">
      <w:pPr>
        <w:pStyle w:val="Prrafodelista"/>
        <w:keepNext/>
        <w:keepLines/>
        <w:numPr>
          <w:ilvl w:val="1"/>
          <w:numId w:val="1"/>
        </w:numPr>
        <w:spacing w:before="240" w:after="0" w:line="360" w:lineRule="auto"/>
        <w:ind w:left="0"/>
        <w:jc w:val="both"/>
        <w:outlineLvl w:val="0"/>
        <w:rPr>
          <w:rFonts w:eastAsiaTheme="majorEastAsia"/>
          <w:b/>
          <w:spacing w:val="0"/>
          <w:szCs w:val="28"/>
          <w:lang w:val="es-DO"/>
        </w:rPr>
      </w:pPr>
      <w:bookmarkStart w:id="53" w:name="_Toc217050901"/>
      <w:r w:rsidRPr="00F06D9C">
        <w:rPr>
          <w:rFonts w:eastAsiaTheme="majorEastAsia"/>
          <w:b/>
          <w:spacing w:val="0"/>
          <w:szCs w:val="28"/>
          <w:lang w:val="es-DO"/>
        </w:rPr>
        <w:t>Seguridad y Vigilancia Institucional</w:t>
      </w:r>
      <w:bookmarkEnd w:id="53"/>
    </w:p>
    <w:p w14:paraId="7BFF7B32" w14:textId="1435D1CE" w:rsidR="003E00B8" w:rsidRPr="00310D52" w:rsidRDefault="00BA6390" w:rsidP="00BA6390">
      <w:pPr>
        <w:spacing w:line="360" w:lineRule="auto"/>
        <w:jc w:val="both"/>
        <w:rPr>
          <w:lang w:val="es-DO"/>
        </w:rPr>
      </w:pPr>
      <w:r w:rsidRPr="00310D52">
        <w:rPr>
          <w:lang w:val="es-DO"/>
        </w:rPr>
        <w:t>Con el objetivo de planificar, coordinar y supervisar las actividades de la seguridad e integridad física de las personas, así como salvaguardar los equipos y propiedades de la institución para asegurar la continuidad de las operaciones de la dirección, se han realizado las actividades inherentes a este tema como las siguientes:</w:t>
      </w:r>
    </w:p>
    <w:p w14:paraId="134BF3AE" w14:textId="7E2D1D9F" w:rsidR="00D16900" w:rsidRPr="00310D52" w:rsidRDefault="003C641F" w:rsidP="003C641F">
      <w:pPr>
        <w:spacing w:line="360" w:lineRule="auto"/>
        <w:jc w:val="both"/>
        <w:rPr>
          <w:lang w:val="es-DO"/>
        </w:rPr>
      </w:pPr>
      <w:r w:rsidRPr="00310D52">
        <w:rPr>
          <w:lang w:val="es-DO"/>
        </w:rPr>
        <w:object w:dxaOrig="8400" w:dyaOrig="5695" w14:anchorId="3DA933B1">
          <v:shape id="_x0000_i1036" type="#_x0000_t75" style="width:394.5pt;height:270.75pt" o:ole="">
            <v:imagedata r:id="rId43" o:title=""/>
          </v:shape>
          <o:OLEObject Type="Embed" ProgID="Excel.Sheet.12" ShapeID="_x0000_i1036" DrawAspect="Content" ObjectID="_1832144376" r:id="rId44"/>
        </w:object>
      </w:r>
    </w:p>
    <w:p w14:paraId="6F521D27" w14:textId="16D395F1" w:rsidR="003C641F" w:rsidRPr="00310D52" w:rsidRDefault="003C641F" w:rsidP="003C641F">
      <w:pPr>
        <w:spacing w:line="360" w:lineRule="auto"/>
        <w:jc w:val="both"/>
        <w:rPr>
          <w:i/>
          <w:iCs/>
          <w:sz w:val="18"/>
          <w:szCs w:val="18"/>
          <w:lang w:val="es-DO"/>
        </w:rPr>
      </w:pPr>
      <w:r w:rsidRPr="00310D52">
        <w:rPr>
          <w:i/>
          <w:iCs/>
          <w:sz w:val="18"/>
          <w:szCs w:val="18"/>
          <w:lang w:val="es-DO"/>
        </w:rPr>
        <w:t>Fuente: Departamento de Seguridad</w:t>
      </w:r>
    </w:p>
    <w:p w14:paraId="42841543" w14:textId="77777777" w:rsidR="00D16900" w:rsidRPr="00310D52" w:rsidRDefault="00D16900" w:rsidP="00D16900">
      <w:pPr>
        <w:jc w:val="both"/>
        <w:rPr>
          <w:lang w:val="es-DO"/>
        </w:rPr>
      </w:pPr>
    </w:p>
    <w:p w14:paraId="32B3F4FC" w14:textId="77777777" w:rsidR="00D16900" w:rsidRPr="00310D52" w:rsidRDefault="00D16900" w:rsidP="00D16900">
      <w:pPr>
        <w:jc w:val="both"/>
        <w:rPr>
          <w:lang w:val="es-DO"/>
        </w:rPr>
      </w:pPr>
    </w:p>
    <w:p w14:paraId="7C5D89D6" w14:textId="77777777" w:rsidR="00A55E73" w:rsidRPr="00310D52" w:rsidRDefault="00A55E73" w:rsidP="00BA2267">
      <w:pPr>
        <w:spacing w:line="360" w:lineRule="auto"/>
        <w:jc w:val="both"/>
        <w:rPr>
          <w:rFonts w:eastAsia="Calibri"/>
          <w:noProof/>
          <w:lang w:val="es-DO"/>
        </w:rPr>
      </w:pPr>
    </w:p>
    <w:p w14:paraId="6D690888" w14:textId="71E8AEC6" w:rsidR="0035429F" w:rsidRPr="00310D52" w:rsidRDefault="00967739" w:rsidP="00756335">
      <w:pPr>
        <w:pStyle w:val="Ttulo1"/>
        <w:numPr>
          <w:ilvl w:val="0"/>
          <w:numId w:val="1"/>
        </w:numPr>
        <w:rPr>
          <w:rFonts w:cs="Times New Roman"/>
          <w:color w:val="767171"/>
          <w:lang w:val="es-DO"/>
        </w:rPr>
      </w:pPr>
      <w:bookmarkStart w:id="54" w:name="_Toc217050902"/>
      <w:r w:rsidRPr="00310D52">
        <w:rPr>
          <w:rFonts w:cs="Times New Roman"/>
          <w:color w:val="767171"/>
          <w:lang w:val="es-DO"/>
        </w:rPr>
        <w:lastRenderedPageBreak/>
        <w:t xml:space="preserve">SERVICIO AL CIUDADANO Y </w:t>
      </w:r>
      <w:r w:rsidR="00485B71" w:rsidRPr="00310D52">
        <w:rPr>
          <w:rFonts w:cs="Times New Roman"/>
          <w:color w:val="767171"/>
          <w:lang w:val="es-DO"/>
        </w:rPr>
        <w:t>TRANSPARENCIA INSTITUCIONAL</w:t>
      </w:r>
      <w:bookmarkEnd w:id="54"/>
    </w:p>
    <w:p w14:paraId="7179426A" w14:textId="77777777" w:rsidR="0035429F" w:rsidRPr="00310D52" w:rsidRDefault="0035429F" w:rsidP="00756335">
      <w:pPr>
        <w:spacing w:line="360" w:lineRule="auto"/>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731968" behindDoc="0" locked="0" layoutInCell="1" allowOverlap="1" wp14:anchorId="01C7E3CD" wp14:editId="6C7AEF89">
                <wp:simplePos x="0" y="0"/>
                <wp:positionH relativeFrom="margin">
                  <wp:posOffset>2254250</wp:posOffset>
                </wp:positionH>
                <wp:positionV relativeFrom="paragraph">
                  <wp:posOffset>100625</wp:posOffset>
                </wp:positionV>
                <wp:extent cx="463550" cy="0"/>
                <wp:effectExtent l="22860" t="15875" r="18415" b="2222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1DA60A" id="Straight Connector 3" o:spid="_x0000_s1026" style="position:absolute;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" strokecolor="#ee2a24" strokeweight="2.25pt">
                <v:stroke joinstyle="miter"/>
                <w10:wrap anchorx="margin"/>
              </v:line>
            </w:pict>
          </mc:Fallback>
        </mc:AlternateContent>
      </w:r>
    </w:p>
    <w:p w14:paraId="1666AECE" w14:textId="590D2BC7" w:rsidR="0035429F" w:rsidRPr="00310D52" w:rsidRDefault="0035429F" w:rsidP="00756335">
      <w:pPr>
        <w:spacing w:line="360" w:lineRule="auto"/>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614DE580" w14:textId="77777777" w:rsidR="00C336E5" w:rsidRPr="00310D52" w:rsidRDefault="00C336E5" w:rsidP="00756335">
      <w:pPr>
        <w:spacing w:line="360" w:lineRule="auto"/>
        <w:jc w:val="center"/>
        <w:rPr>
          <w:rFonts w:eastAsia="Calibri"/>
          <w:szCs w:val="36"/>
          <w:lang w:val="es-DO"/>
        </w:rPr>
      </w:pPr>
    </w:p>
    <w:p w14:paraId="153CA6D5" w14:textId="15A47A58" w:rsidR="00380E7E" w:rsidRPr="00F06D9C" w:rsidRDefault="00380E7E" w:rsidP="00756335">
      <w:pPr>
        <w:keepNext/>
        <w:keepLines/>
        <w:numPr>
          <w:ilvl w:val="1"/>
          <w:numId w:val="1"/>
        </w:numPr>
        <w:spacing w:before="240" w:after="0" w:line="360" w:lineRule="auto"/>
        <w:ind w:left="0" w:hanging="450"/>
        <w:jc w:val="both"/>
        <w:outlineLvl w:val="0"/>
        <w:rPr>
          <w:rFonts w:eastAsiaTheme="majorEastAsia"/>
          <w:b/>
          <w:spacing w:val="0"/>
          <w:szCs w:val="28"/>
          <w:lang w:val="es-DO"/>
        </w:rPr>
      </w:pPr>
      <w:bookmarkStart w:id="55" w:name="_Toc217050903"/>
      <w:r w:rsidRPr="00F06D9C">
        <w:rPr>
          <w:rFonts w:eastAsiaTheme="majorEastAsia"/>
          <w:b/>
          <w:spacing w:val="0"/>
          <w:szCs w:val="28"/>
          <w:lang w:val="es-DO"/>
        </w:rPr>
        <w:t>Nivel de Satisfacción con el Servicio</w:t>
      </w:r>
      <w:bookmarkEnd w:id="55"/>
    </w:p>
    <w:p w14:paraId="40DCC083" w14:textId="77777777" w:rsidR="007A3FF6" w:rsidRPr="00310D52" w:rsidRDefault="007A3FF6" w:rsidP="00756335">
      <w:pPr>
        <w:pStyle w:val="Prrafodelista"/>
        <w:spacing w:line="360" w:lineRule="auto"/>
        <w:ind w:left="360"/>
        <w:jc w:val="both"/>
        <w:rPr>
          <w:rFonts w:eastAsia="Calibri"/>
          <w:b/>
          <w:bCs/>
          <w:noProof/>
          <w:lang w:val="es-DO"/>
        </w:rPr>
      </w:pPr>
    </w:p>
    <w:p w14:paraId="7C4CC1F0" w14:textId="61F64C5F" w:rsidR="0035429F" w:rsidRPr="00310D52" w:rsidRDefault="00380E7E" w:rsidP="00756335">
      <w:pPr>
        <w:pStyle w:val="Prrafodelista"/>
        <w:numPr>
          <w:ilvl w:val="0"/>
          <w:numId w:val="8"/>
        </w:numPr>
        <w:spacing w:line="360" w:lineRule="auto"/>
        <w:ind w:left="360" w:hanging="360"/>
        <w:jc w:val="both"/>
        <w:rPr>
          <w:rFonts w:eastAsia="Calibri"/>
          <w:b/>
          <w:bCs/>
          <w:noProof/>
          <w:lang w:val="es-DO"/>
        </w:rPr>
      </w:pPr>
      <w:r w:rsidRPr="00310D52">
        <w:rPr>
          <w:rFonts w:eastAsia="Calibri"/>
          <w:b/>
          <w:bCs/>
          <w:noProof/>
          <w:lang w:val="es-DO"/>
        </w:rPr>
        <w:t>Porcentaje de Satisfacción Global de los Servicios Ofrecidos a través del Sistema 9-1-1.</w:t>
      </w:r>
    </w:p>
    <w:p w14:paraId="36BE7778" w14:textId="02ADDB7B" w:rsidR="007A3FF6" w:rsidRPr="00310D52" w:rsidRDefault="007A3FF6" w:rsidP="00756335">
      <w:pPr>
        <w:spacing w:line="360" w:lineRule="auto"/>
        <w:ind w:left="360"/>
        <w:jc w:val="both"/>
        <w:rPr>
          <w:rFonts w:eastAsia="Calibri"/>
          <w:noProof/>
          <w:lang w:val="es-DO"/>
        </w:rPr>
      </w:pPr>
      <w:r w:rsidRPr="00310D52">
        <w:rPr>
          <w:rFonts w:eastAsia="Calibri"/>
          <w:noProof/>
          <w:lang w:val="es-DO"/>
        </w:rPr>
        <w:t>Los resultados de la encuesta de satisfacción entre enero y octubre reflejan un alto nivel de satisfacción por parte de nuestros usuarios. Los aspectos de Conocimiento y Trato en la Respuesta destacan con índices constantes superiores al 89% y 96%, respectivamente, lo que evidencia la profesionalidad y empatía de nuestro equipo en cada interacción.</w:t>
      </w:r>
    </w:p>
    <w:p w14:paraId="0DEF486E" w14:textId="464ED34E" w:rsidR="007A3FF6" w:rsidRPr="00310D52" w:rsidRDefault="007A3FF6" w:rsidP="00756335">
      <w:pPr>
        <w:spacing w:line="360" w:lineRule="auto"/>
        <w:ind w:left="360"/>
        <w:jc w:val="both"/>
        <w:rPr>
          <w:rFonts w:eastAsia="Calibri"/>
          <w:noProof/>
          <w:lang w:val="es-DO"/>
        </w:rPr>
      </w:pPr>
      <w:r w:rsidRPr="00310D52">
        <w:rPr>
          <w:rFonts w:eastAsia="Calibri"/>
          <w:noProof/>
          <w:lang w:val="es-DO"/>
        </w:rPr>
        <w:t>La Satisfacción Global ha aumentado durante este año llegando a un 90%, consolidando la confianza de nuestros usuarios en la calidad de nuestro servicio. Aunque la Velocidad de Respuesta ha mostrado algunas variaciones, con un máximo de 76% en octubre, continuamos implementando mejoras para optimizar este aspecto y brindar un servicio cada vez más ágil y efectivo. Estos resultados reafirman nuestro compromiso de excelencia y nos impulsan a seguir fortaleciendo nuestros procesos para superar las expectativas de nuestros usuarios.</w:t>
      </w:r>
    </w:p>
    <w:p w14:paraId="14D7EE20" w14:textId="0CB3CD0E" w:rsidR="00177191" w:rsidRPr="00310D52" w:rsidRDefault="0061603D" w:rsidP="00756335">
      <w:pPr>
        <w:spacing w:after="0" w:line="360" w:lineRule="auto"/>
        <w:ind w:left="360"/>
        <w:jc w:val="both"/>
        <w:rPr>
          <w:rFonts w:eastAsia="Calibri"/>
          <w:noProof/>
          <w:lang w:val="es-DO"/>
        </w:rPr>
      </w:pPr>
      <w:r w:rsidRPr="00310D52">
        <w:rPr>
          <w:noProof/>
          <w:lang w:val="es-DO"/>
        </w:rPr>
        <w:lastRenderedPageBreak/>
        <w:drawing>
          <wp:inline distT="0" distB="0" distL="0" distR="0" wp14:anchorId="68CE4A81" wp14:editId="6FF1D2E0">
            <wp:extent cx="5018568" cy="4210493"/>
            <wp:effectExtent l="0" t="0" r="10795" b="0"/>
            <wp:docPr id="405642400" name="Gráfico 1">
              <a:extLst xmlns:a="http://schemas.openxmlformats.org/drawingml/2006/main">
                <a:ext uri="{FF2B5EF4-FFF2-40B4-BE49-F238E27FC236}">
                  <a16:creationId xmlns:a16="http://schemas.microsoft.com/office/drawing/2014/main" id="{AE51D8B4-9746-9515-07CE-3368DAFF0C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r w:rsidR="00177191" w:rsidRPr="00310D52">
        <w:rPr>
          <w:rFonts w:eastAsia="Calibri"/>
          <w:noProof/>
          <w:lang w:val="es-DO"/>
        </w:rPr>
        <w:t xml:space="preserve"> </w:t>
      </w:r>
    </w:p>
    <w:p w14:paraId="7B20A506" w14:textId="03783BD7" w:rsidR="00C336E5" w:rsidRPr="00310D52" w:rsidRDefault="00C336E5" w:rsidP="00756335">
      <w:pPr>
        <w:spacing w:line="360" w:lineRule="auto"/>
        <w:ind w:left="360"/>
        <w:jc w:val="both"/>
        <w:rPr>
          <w:rFonts w:eastAsia="Calibri"/>
          <w:i/>
          <w:iCs/>
          <w:noProof/>
          <w:sz w:val="18"/>
          <w:szCs w:val="18"/>
          <w:lang w:val="es-DO"/>
        </w:rPr>
      </w:pPr>
      <w:r w:rsidRPr="00310D52">
        <w:rPr>
          <w:rFonts w:eastAsia="Calibri"/>
          <w:i/>
          <w:iCs/>
          <w:noProof/>
          <w:sz w:val="18"/>
          <w:szCs w:val="18"/>
          <w:lang w:val="es-DO"/>
        </w:rPr>
        <w:t>Fuente: Sistema 9-1-1</w:t>
      </w:r>
    </w:p>
    <w:p w14:paraId="14D22D56" w14:textId="77777777" w:rsidR="00C0123A" w:rsidRPr="00310D52" w:rsidRDefault="00C0123A" w:rsidP="00756335">
      <w:pPr>
        <w:pStyle w:val="Prrafodelista"/>
        <w:numPr>
          <w:ilvl w:val="0"/>
          <w:numId w:val="8"/>
        </w:numPr>
        <w:spacing w:line="360" w:lineRule="auto"/>
        <w:ind w:left="360" w:hanging="360"/>
        <w:jc w:val="both"/>
        <w:rPr>
          <w:rFonts w:eastAsia="Calibri"/>
          <w:b/>
          <w:bCs/>
          <w:noProof/>
          <w:lang w:val="es-DO"/>
        </w:rPr>
      </w:pPr>
      <w:r w:rsidRPr="00310D52">
        <w:rPr>
          <w:rFonts w:eastAsia="Calibri"/>
          <w:b/>
          <w:bCs/>
          <w:noProof/>
          <w:lang w:val="es-DO"/>
        </w:rPr>
        <w:t>Resultados del Monitoreo de la Carta Compromiso</w:t>
      </w:r>
    </w:p>
    <w:p w14:paraId="51390CEB" w14:textId="4231A673" w:rsidR="007A3FF6" w:rsidRPr="00310D52" w:rsidRDefault="00074F31" w:rsidP="00756335">
      <w:pPr>
        <w:spacing w:line="360" w:lineRule="auto"/>
        <w:ind w:left="360"/>
        <w:jc w:val="both"/>
        <w:rPr>
          <w:rFonts w:eastAsia="Calibri"/>
          <w:noProof/>
          <w:lang w:val="es-DO"/>
        </w:rPr>
      </w:pPr>
      <w:r w:rsidRPr="00310D52">
        <w:rPr>
          <w:rFonts w:eastAsia="Calibri"/>
          <w:noProof/>
          <w:lang w:val="es-DO"/>
        </w:rPr>
        <w:t>En la actualidad, la institución avanza en la elaboración de su Carta Compromiso al Ciudadano, habiendo completado el diseño del modelo base y el brochure informativo. Durante el año 2025, se continúa trabajando en el ajuste de los indicadores vinculados a los atributos de calidad y en la elaboración de los anexos, registrándose un avance aproximado del 65% en el desarrollo integral del documento. Una vez finalizado este proceso, la carta será remitida al Ministerio de Administración Pública (MAP) para su revisión y aprobación, garantizando el cumplimiento de los estándares establecidos y fortaleciendo la transparencia y la orientación al ciudadano.</w:t>
      </w:r>
    </w:p>
    <w:p w14:paraId="4DC66230" w14:textId="77777777" w:rsidR="00265A48" w:rsidRPr="00F06D9C" w:rsidRDefault="00265A48" w:rsidP="00756335">
      <w:pPr>
        <w:keepNext/>
        <w:keepLines/>
        <w:numPr>
          <w:ilvl w:val="1"/>
          <w:numId w:val="1"/>
        </w:numPr>
        <w:spacing w:before="240" w:after="0" w:line="360" w:lineRule="auto"/>
        <w:ind w:left="0" w:hanging="450"/>
        <w:jc w:val="both"/>
        <w:outlineLvl w:val="0"/>
        <w:rPr>
          <w:rFonts w:eastAsiaTheme="majorEastAsia"/>
          <w:b/>
          <w:spacing w:val="0"/>
          <w:szCs w:val="28"/>
          <w:lang w:val="es-DO"/>
        </w:rPr>
      </w:pPr>
      <w:bookmarkStart w:id="56" w:name="_Toc184936529"/>
      <w:bookmarkStart w:id="57" w:name="_Toc217050904"/>
      <w:r w:rsidRPr="00F06D9C">
        <w:rPr>
          <w:rFonts w:eastAsiaTheme="majorEastAsia"/>
          <w:b/>
          <w:spacing w:val="0"/>
          <w:szCs w:val="28"/>
          <w:lang w:val="es-DO"/>
        </w:rPr>
        <w:lastRenderedPageBreak/>
        <w:t>Nivel de Cumplimiento a Acceso de Información</w:t>
      </w:r>
      <w:bookmarkEnd w:id="56"/>
      <w:bookmarkEnd w:id="57"/>
    </w:p>
    <w:p w14:paraId="20AD96C1" w14:textId="258AF342" w:rsidR="00265A48" w:rsidRPr="00310D52" w:rsidRDefault="00265A48" w:rsidP="00756335">
      <w:pPr>
        <w:spacing w:line="360" w:lineRule="auto"/>
        <w:jc w:val="both"/>
        <w:rPr>
          <w:rFonts w:eastAsia="Calibri"/>
          <w:noProof/>
          <w:lang w:val="es-DO"/>
        </w:rPr>
      </w:pPr>
      <w:r w:rsidRPr="00310D52">
        <w:rPr>
          <w:rFonts w:eastAsia="Calibri"/>
          <w:noProof/>
          <w:lang w:val="es-DO"/>
        </w:rPr>
        <w:t xml:space="preserve">Durante el </w:t>
      </w:r>
      <w:r w:rsidR="0035673A" w:rsidRPr="00310D52">
        <w:rPr>
          <w:rFonts w:eastAsia="Calibri"/>
          <w:noProof/>
          <w:lang w:val="es-DO"/>
        </w:rPr>
        <w:t>año</w:t>
      </w:r>
      <w:r w:rsidRPr="00310D52">
        <w:rPr>
          <w:rFonts w:eastAsia="Calibri"/>
          <w:noProof/>
          <w:lang w:val="es-DO"/>
        </w:rPr>
        <w:t xml:space="preserve"> 2025, la Oficina de Acceso a la Información (OAI) de la Dirección de Servicios de Atención a Emergencias Extrahospitalarias (DAEH) gestionó 7 solicitudes de información, recibidas mediante correo institucional y SAIP. El 100% fue tramitado sin casos pendientes, cumpliendo los plazos establecidos. Del total, 4 fueron cerradas, 2 transferidas y 1 declinada, sin registrarse incumplimientos que requirieran justificación.</w:t>
      </w:r>
    </w:p>
    <w:p w14:paraId="72156FC8" w14:textId="2A54969C" w:rsidR="00265A48" w:rsidRPr="00310D52" w:rsidRDefault="00265A48" w:rsidP="00756335">
      <w:pPr>
        <w:spacing w:line="360" w:lineRule="auto"/>
        <w:jc w:val="both"/>
        <w:rPr>
          <w:rFonts w:eastAsia="Calibri"/>
          <w:noProof/>
          <w:lang w:val="es-DO"/>
        </w:rPr>
      </w:pPr>
      <w:r w:rsidRPr="00310D52">
        <w:rPr>
          <w:rFonts w:eastAsia="Calibri"/>
          <w:noProof/>
          <w:lang w:val="es-DO"/>
        </w:rPr>
        <w:t xml:space="preserve">Se proyecta que noviembre y diciembre mantendrán la misma tendencia, cerrando el año sin solicitudes pendientes. Como parte de la mejora continua, la OAI implementa acciones orientadas al fortalecimiento del seguimiento en el SAIP y reportes internos de monitoreo. </w:t>
      </w:r>
      <w:r w:rsidR="0043570D" w:rsidRPr="00310D52">
        <w:rPr>
          <w:rFonts w:eastAsia="Calibri"/>
          <w:noProof/>
          <w:lang w:val="es-DO"/>
        </w:rPr>
        <w:t xml:space="preserve">A </w:t>
      </w:r>
      <w:r w:rsidR="008358E8" w:rsidRPr="00310D52">
        <w:rPr>
          <w:rFonts w:eastAsia="Calibri"/>
          <w:noProof/>
          <w:lang w:val="es-DO"/>
        </w:rPr>
        <w:t>continuación</w:t>
      </w:r>
      <w:r w:rsidR="0043570D" w:rsidRPr="00310D52">
        <w:rPr>
          <w:rFonts w:eastAsia="Calibri"/>
          <w:noProof/>
          <w:lang w:val="es-DO"/>
        </w:rPr>
        <w:t xml:space="preserve"> se presentan las e</w:t>
      </w:r>
      <w:r w:rsidRPr="00310D52">
        <w:rPr>
          <w:rFonts w:eastAsia="Calibri"/>
          <w:noProof/>
          <w:lang w:val="es-DO"/>
        </w:rPr>
        <w:t xml:space="preserve">stadísticas de </w:t>
      </w:r>
      <w:r w:rsidR="0043570D" w:rsidRPr="00310D52">
        <w:rPr>
          <w:rFonts w:eastAsia="Calibri"/>
          <w:noProof/>
          <w:lang w:val="es-DO"/>
        </w:rPr>
        <w:t>s</w:t>
      </w:r>
      <w:r w:rsidRPr="00310D52">
        <w:rPr>
          <w:rFonts w:eastAsia="Calibri"/>
          <w:noProof/>
          <w:lang w:val="es-DO"/>
        </w:rPr>
        <w:t xml:space="preserve">olicitudes de </w:t>
      </w:r>
      <w:r w:rsidR="0043570D" w:rsidRPr="00310D52">
        <w:rPr>
          <w:rFonts w:eastAsia="Calibri"/>
          <w:noProof/>
          <w:lang w:val="es-DO"/>
        </w:rPr>
        <w:t>a</w:t>
      </w:r>
      <w:r w:rsidRPr="00310D52">
        <w:rPr>
          <w:rFonts w:eastAsia="Calibri"/>
          <w:noProof/>
          <w:lang w:val="es-DO"/>
        </w:rPr>
        <w:t xml:space="preserve">cceso a la Información Pública </w:t>
      </w:r>
      <w:r w:rsidR="0043570D" w:rsidRPr="00310D52">
        <w:rPr>
          <w:rFonts w:eastAsia="Calibri"/>
          <w:noProof/>
          <w:lang w:val="es-DO"/>
        </w:rPr>
        <w:t>durante el periodo e</w:t>
      </w:r>
      <w:r w:rsidRPr="00310D52">
        <w:rPr>
          <w:rFonts w:eastAsia="Calibri"/>
          <w:noProof/>
          <w:lang w:val="es-DO"/>
        </w:rPr>
        <w:t>nero-octubre 2025</w:t>
      </w:r>
      <w:r w:rsidR="0043570D" w:rsidRPr="00310D52">
        <w:rPr>
          <w:rFonts w:eastAsia="Calibri"/>
          <w:noProof/>
          <w:lang w:val="es-DO"/>
        </w:rPr>
        <w:t>.</w:t>
      </w:r>
    </w:p>
    <w:p w14:paraId="015AA132" w14:textId="424ECC2F" w:rsidR="0043570D" w:rsidRPr="00310D52" w:rsidRDefault="003B2462" w:rsidP="00756335">
      <w:pPr>
        <w:spacing w:before="240" w:line="360" w:lineRule="auto"/>
        <w:jc w:val="both"/>
        <w:rPr>
          <w:rFonts w:eastAsia="Calibri"/>
          <w:noProof/>
          <w:lang w:val="es-DO"/>
        </w:rPr>
      </w:pPr>
      <w:r w:rsidRPr="00310D52">
        <w:rPr>
          <w:rFonts w:eastAsia="Calibri"/>
          <w:noProof/>
          <w:lang w:val="es-DO"/>
        </w:rPr>
        <w:object w:dxaOrig="8862" w:dyaOrig="3983" w14:anchorId="66C12714">
          <v:shape id="_x0000_i1037" type="#_x0000_t75" style="width:408.75pt;height:195.75pt" o:ole="">
            <v:imagedata r:id="rId46" o:title=""/>
          </v:shape>
          <o:OLEObject Type="Embed" ProgID="Excel.Sheet.12" ShapeID="_x0000_i1037" DrawAspect="Content" ObjectID="_1832144377" r:id="rId47"/>
        </w:object>
      </w:r>
    </w:p>
    <w:p w14:paraId="5AAD11A6" w14:textId="4876EC55" w:rsidR="0043570D" w:rsidRPr="00310D52" w:rsidRDefault="0043570D" w:rsidP="00756335">
      <w:pPr>
        <w:spacing w:line="360" w:lineRule="auto"/>
        <w:jc w:val="both"/>
        <w:rPr>
          <w:rFonts w:eastAsia="Calibri"/>
          <w:i/>
          <w:iCs/>
          <w:noProof/>
          <w:sz w:val="18"/>
          <w:szCs w:val="18"/>
          <w:lang w:val="es-DO"/>
        </w:rPr>
      </w:pPr>
      <w:r w:rsidRPr="00310D52">
        <w:rPr>
          <w:rFonts w:eastAsia="Calibri"/>
          <w:i/>
          <w:iCs/>
          <w:noProof/>
          <w:sz w:val="18"/>
          <w:szCs w:val="18"/>
          <w:lang w:val="es-DO"/>
        </w:rPr>
        <w:t>Fuente: Oficina de Libre Acceso a la Información</w:t>
      </w:r>
    </w:p>
    <w:p w14:paraId="6D5F0EE2" w14:textId="77777777" w:rsidR="00BA2A5A" w:rsidRPr="00310D52" w:rsidRDefault="00BA2A5A" w:rsidP="00756335">
      <w:pPr>
        <w:spacing w:line="360" w:lineRule="auto"/>
        <w:jc w:val="both"/>
        <w:rPr>
          <w:rFonts w:eastAsia="Calibri"/>
          <w:noProof/>
          <w:lang w:val="es-DO"/>
        </w:rPr>
      </w:pPr>
    </w:p>
    <w:p w14:paraId="6F13C5C4" w14:textId="77777777" w:rsidR="00BA2A5A" w:rsidRPr="00310D52" w:rsidRDefault="00BA2A5A" w:rsidP="00756335">
      <w:pPr>
        <w:spacing w:line="360" w:lineRule="auto"/>
        <w:jc w:val="both"/>
        <w:rPr>
          <w:rFonts w:eastAsia="Calibri"/>
          <w:noProof/>
          <w:lang w:val="es-DO"/>
        </w:rPr>
      </w:pPr>
    </w:p>
    <w:p w14:paraId="69626DF5" w14:textId="6E18DEF4" w:rsidR="00265A48" w:rsidRPr="00F06D9C" w:rsidRDefault="00BA2A5A" w:rsidP="00756335">
      <w:pPr>
        <w:keepNext/>
        <w:keepLines/>
        <w:numPr>
          <w:ilvl w:val="1"/>
          <w:numId w:val="1"/>
        </w:numPr>
        <w:spacing w:before="240" w:after="0" w:line="360" w:lineRule="auto"/>
        <w:ind w:left="0" w:hanging="450"/>
        <w:jc w:val="both"/>
        <w:outlineLvl w:val="0"/>
        <w:rPr>
          <w:rFonts w:eastAsiaTheme="majorEastAsia"/>
          <w:b/>
          <w:spacing w:val="0"/>
          <w:szCs w:val="28"/>
          <w:lang w:val="es-DO"/>
        </w:rPr>
      </w:pPr>
      <w:bookmarkStart w:id="58" w:name="_Toc217050905"/>
      <w:r w:rsidRPr="00F06D9C">
        <w:rPr>
          <w:rFonts w:eastAsiaTheme="majorEastAsia"/>
          <w:b/>
          <w:spacing w:val="0"/>
          <w:szCs w:val="28"/>
          <w:lang w:val="es-DO"/>
        </w:rPr>
        <w:lastRenderedPageBreak/>
        <w:t>Resultados sistema de quejas, reclamos y sugerencias</w:t>
      </w:r>
      <w:r w:rsidR="00993F0B" w:rsidRPr="00F06D9C">
        <w:rPr>
          <w:rFonts w:eastAsiaTheme="majorEastAsia"/>
          <w:b/>
          <w:spacing w:val="0"/>
          <w:szCs w:val="28"/>
          <w:lang w:val="es-DO"/>
        </w:rPr>
        <w:t xml:space="preserve"> (QRS)</w:t>
      </w:r>
      <w:bookmarkEnd w:id="58"/>
    </w:p>
    <w:p w14:paraId="43EFDD1D" w14:textId="1E8AA181" w:rsidR="00896841" w:rsidRPr="00310D52" w:rsidRDefault="00896841" w:rsidP="00756335">
      <w:pPr>
        <w:spacing w:line="360" w:lineRule="auto"/>
        <w:jc w:val="both"/>
        <w:rPr>
          <w:rFonts w:eastAsia="Calibri"/>
          <w:noProof/>
          <w:lang w:val="es-DO"/>
        </w:rPr>
      </w:pPr>
      <w:r w:rsidRPr="00310D52">
        <w:rPr>
          <w:rFonts w:eastAsia="Calibri"/>
          <w:noProof/>
          <w:lang w:val="es-DO"/>
        </w:rPr>
        <w:t>La DAEH recibe QRS por varias vias: la principal fuente de recepción es el Sistema 3-1-1 gestionado a través de la OAI, otros son referidos del Sistema 9-1-1, de igual forma recibos través de los buzones de sugerencias, redes sociales, medios de comunicación (radio, televisión, periódicos), encuestas de satisfacción, supervisiones, comunicados, entre otros.</w:t>
      </w:r>
    </w:p>
    <w:p w14:paraId="64027EAB" w14:textId="77777777" w:rsidR="00896841" w:rsidRPr="00310D52" w:rsidRDefault="00896841" w:rsidP="00756335">
      <w:pPr>
        <w:spacing w:line="360" w:lineRule="auto"/>
        <w:jc w:val="both"/>
        <w:rPr>
          <w:rFonts w:eastAsia="Calibri"/>
          <w:noProof/>
          <w:lang w:val="es-DO"/>
        </w:rPr>
      </w:pPr>
      <w:r w:rsidRPr="00310D52">
        <w:rPr>
          <w:rFonts w:eastAsia="Calibri"/>
          <w:noProof/>
          <w:lang w:val="es-DO"/>
        </w:rPr>
        <w:t xml:space="preserve">Nuestra dirección cumplió con el 100% de las solicitudes de información recibidas, garantizando que todas fueran respondidas dentro de los plazos establecidos por la Ley Núm. 200-04 de Libre Acceso a la Información Pública. </w:t>
      </w:r>
    </w:p>
    <w:p w14:paraId="0DBF9576" w14:textId="235CEADA" w:rsidR="00BA2A5A" w:rsidRPr="00310D52" w:rsidRDefault="00896841" w:rsidP="00756335">
      <w:pPr>
        <w:spacing w:line="360" w:lineRule="auto"/>
        <w:jc w:val="both"/>
        <w:rPr>
          <w:rFonts w:eastAsia="Calibri"/>
          <w:noProof/>
          <w:lang w:val="es-DO"/>
        </w:rPr>
      </w:pPr>
      <w:r w:rsidRPr="00310D52">
        <w:rPr>
          <w:rFonts w:eastAsia="Calibri"/>
          <w:noProof/>
          <w:lang w:val="es-DO"/>
        </w:rPr>
        <w:t>En este periodo, se recibieron 203 QRS de las cuales todas han sido respondidas en los plazos establecidos.</w:t>
      </w:r>
    </w:p>
    <w:p w14:paraId="3EB525FF" w14:textId="61036A08" w:rsidR="00896841" w:rsidRPr="00310D52" w:rsidRDefault="00996181" w:rsidP="00756335">
      <w:pPr>
        <w:spacing w:after="0" w:line="360" w:lineRule="auto"/>
        <w:jc w:val="both"/>
        <w:rPr>
          <w:rFonts w:eastAsia="Calibri"/>
          <w:noProof/>
          <w:lang w:val="es-DO"/>
        </w:rPr>
      </w:pPr>
      <w:r w:rsidRPr="00310D52">
        <w:rPr>
          <w:rFonts w:eastAsia="Calibri"/>
          <w:noProof/>
          <w:lang w:val="es-DO"/>
        </w:rPr>
        <w:object w:dxaOrig="8057" w:dyaOrig="3256" w14:anchorId="7494AC42">
          <v:shape id="_x0000_i1038" type="#_x0000_t75" style="width:355.5pt;height:135.75pt" o:ole="">
            <v:imagedata r:id="rId48" o:title=""/>
          </v:shape>
          <o:OLEObject Type="Embed" ProgID="Excel.Sheet.12" ShapeID="_x0000_i1038" DrawAspect="Content" ObjectID="_1832144378" r:id="rId49"/>
        </w:object>
      </w:r>
    </w:p>
    <w:p w14:paraId="0AFFC1A6" w14:textId="2691B40D" w:rsidR="0043570D" w:rsidRPr="00310D52" w:rsidRDefault="003B2462" w:rsidP="00756335">
      <w:pPr>
        <w:spacing w:line="360" w:lineRule="auto"/>
        <w:jc w:val="both"/>
        <w:rPr>
          <w:rFonts w:eastAsia="Calibri"/>
          <w:i/>
          <w:iCs/>
          <w:noProof/>
          <w:lang w:val="es-DO"/>
        </w:rPr>
      </w:pPr>
      <w:r w:rsidRPr="00310D52">
        <w:rPr>
          <w:rFonts w:eastAsia="Calibri"/>
          <w:i/>
          <w:iCs/>
          <w:noProof/>
          <w:sz w:val="18"/>
          <w:szCs w:val="18"/>
          <w:lang w:val="es-DO"/>
        </w:rPr>
        <w:t>Fuente: Oficina de Libre Acceso a la Información</w:t>
      </w:r>
    </w:p>
    <w:p w14:paraId="13CBA869" w14:textId="6404CFE7" w:rsidR="003B2462" w:rsidRPr="00F06D9C" w:rsidRDefault="003B2462" w:rsidP="00756335">
      <w:pPr>
        <w:keepNext/>
        <w:keepLines/>
        <w:numPr>
          <w:ilvl w:val="1"/>
          <w:numId w:val="1"/>
        </w:numPr>
        <w:spacing w:before="240" w:after="0" w:line="360" w:lineRule="auto"/>
        <w:ind w:left="0" w:hanging="450"/>
        <w:jc w:val="both"/>
        <w:outlineLvl w:val="0"/>
        <w:rPr>
          <w:rFonts w:eastAsiaTheme="majorEastAsia"/>
          <w:b/>
          <w:spacing w:val="0"/>
          <w:szCs w:val="28"/>
          <w:lang w:val="es-DO"/>
        </w:rPr>
      </w:pPr>
      <w:bookmarkStart w:id="59" w:name="_Toc217050906"/>
      <w:r w:rsidRPr="00F06D9C">
        <w:rPr>
          <w:rFonts w:eastAsiaTheme="majorEastAsia"/>
          <w:b/>
          <w:spacing w:val="0"/>
          <w:szCs w:val="28"/>
          <w:lang w:val="es-DO"/>
        </w:rPr>
        <w:t>Resultados mediciones del portal de transparencia</w:t>
      </w:r>
      <w:bookmarkEnd w:id="59"/>
    </w:p>
    <w:p w14:paraId="4E6C9ACD" w14:textId="0BE38A4D" w:rsidR="003B2462" w:rsidRPr="00310D52" w:rsidRDefault="003B2462" w:rsidP="00756335">
      <w:pPr>
        <w:spacing w:line="360" w:lineRule="auto"/>
        <w:jc w:val="both"/>
        <w:rPr>
          <w:rFonts w:eastAsia="Calibri"/>
          <w:noProof/>
          <w:lang w:val="es-DO"/>
        </w:rPr>
      </w:pPr>
      <w:r w:rsidRPr="00310D52">
        <w:rPr>
          <w:rFonts w:eastAsia="Calibri"/>
          <w:noProof/>
          <w:lang w:val="es-DO"/>
        </w:rPr>
        <w:t>Durante el 2025, las mediciones del portal de transparencia reflejaron un promedio general de cumplimiento de 98.34%, con calificaciones mensuales que se mantuvieron consistentemente por encima del 95%. Este desempeño permitió obtener un reconocimiento institucional por parte de la Dirección General de ética e Integridad Gubernamental (DIGEIG) por el alto nivel de cumplimiento de la Ley 200-04 y la calidad de la información publicada en el portal.</w:t>
      </w:r>
    </w:p>
    <w:p w14:paraId="2D4FFBD0" w14:textId="77777777" w:rsidR="00896841" w:rsidRPr="00310D52" w:rsidRDefault="00896841" w:rsidP="00756335">
      <w:pPr>
        <w:spacing w:line="360" w:lineRule="auto"/>
        <w:jc w:val="both"/>
        <w:rPr>
          <w:rFonts w:eastAsia="Calibri"/>
          <w:noProof/>
          <w:lang w:val="es-DO"/>
        </w:rPr>
      </w:pPr>
    </w:p>
    <w:p w14:paraId="30636688" w14:textId="02B67916" w:rsidR="003B2462" w:rsidRPr="00310D52" w:rsidRDefault="003B2462" w:rsidP="00756335">
      <w:pPr>
        <w:spacing w:line="360" w:lineRule="auto"/>
        <w:jc w:val="both"/>
        <w:rPr>
          <w:rFonts w:eastAsia="Calibri"/>
          <w:noProof/>
          <w:lang w:val="es-DO"/>
        </w:rPr>
      </w:pPr>
      <w:r w:rsidRPr="00310D52">
        <w:rPr>
          <w:rFonts w:eastAsia="Calibri"/>
          <w:noProof/>
          <w:lang w:val="es-DO"/>
        </w:rPr>
        <w:t xml:space="preserve">Con base en la estabilidad registrada durante los primeros nueve meses del año y en el comportamiento histórico de la institución, se proyecta que para octubre, noviembre y diciembre la calificación del Portal de Transparencia se mantenga dentro del rango observado, con resultados estimados entre 98% y 99%. </w:t>
      </w:r>
    </w:p>
    <w:p w14:paraId="5BADA7F3" w14:textId="70613024" w:rsidR="003B2462" w:rsidRPr="00310D52" w:rsidRDefault="003B2462" w:rsidP="00756335">
      <w:pPr>
        <w:spacing w:line="360" w:lineRule="auto"/>
        <w:jc w:val="both"/>
        <w:rPr>
          <w:rFonts w:eastAsia="Calibri"/>
          <w:noProof/>
          <w:lang w:val="es-DO"/>
        </w:rPr>
      </w:pPr>
      <w:r w:rsidRPr="00310D52">
        <w:rPr>
          <w:rFonts w:eastAsia="Calibri"/>
          <w:noProof/>
          <w:lang w:val="es-DO"/>
        </w:rPr>
        <w:t>Como parte de las acciones de mejora, se prioriza el fortalecimiento del control interno sobre los plazos de actualización, capacitar al personal responsable sobre los lineamientos de la Ley 200-04 y optimizar la coordinación interdepartamental.</w:t>
      </w:r>
    </w:p>
    <w:p w14:paraId="6F30C1E8" w14:textId="31937266" w:rsidR="003B2462" w:rsidRPr="00310D52" w:rsidRDefault="003B2462" w:rsidP="00756335">
      <w:pPr>
        <w:spacing w:line="360" w:lineRule="auto"/>
        <w:jc w:val="both"/>
        <w:rPr>
          <w:rFonts w:eastAsia="Calibri"/>
          <w:noProof/>
          <w:lang w:val="es-DO"/>
        </w:rPr>
      </w:pPr>
      <w:r w:rsidRPr="00310D52">
        <w:rPr>
          <w:rFonts w:eastAsia="Calibri"/>
          <w:noProof/>
          <w:lang w:val="es-DO"/>
        </w:rPr>
        <w:t>La calificación por cumplimiento portal de pransparencia por mes en este 2025 fue la siguiente:</w:t>
      </w:r>
    </w:p>
    <w:tbl>
      <w:tblPr>
        <w:tblW w:w="5507" w:type="dxa"/>
        <w:tblInd w:w="80" w:type="dxa"/>
        <w:tblLook w:val="04A0" w:firstRow="1" w:lastRow="0" w:firstColumn="1" w:lastColumn="0" w:noHBand="0" w:noVBand="1"/>
      </w:tblPr>
      <w:tblGrid>
        <w:gridCol w:w="2877"/>
        <w:gridCol w:w="2630"/>
      </w:tblGrid>
      <w:tr w:rsidR="00310D52" w:rsidRPr="00310D52" w14:paraId="2605028D" w14:textId="77777777" w:rsidTr="00B33830">
        <w:trPr>
          <w:trHeight w:val="400"/>
        </w:trPr>
        <w:tc>
          <w:tcPr>
            <w:tcW w:w="2877" w:type="dxa"/>
            <w:tcBorders>
              <w:top w:val="single" w:sz="8" w:space="0" w:color="auto"/>
              <w:left w:val="single" w:sz="8" w:space="0" w:color="auto"/>
              <w:bottom w:val="nil"/>
              <w:right w:val="single" w:sz="4" w:space="0" w:color="auto"/>
            </w:tcBorders>
            <w:shd w:val="clear" w:color="auto" w:fill="011C50"/>
            <w:vAlign w:val="center"/>
            <w:hideMark/>
          </w:tcPr>
          <w:p w14:paraId="4267DB47" w14:textId="77777777" w:rsidR="003B2462" w:rsidRPr="00D0435C" w:rsidRDefault="003B2462" w:rsidP="00756335">
            <w:pPr>
              <w:spacing w:after="0" w:line="360" w:lineRule="auto"/>
              <w:jc w:val="center"/>
              <w:rPr>
                <w:rFonts w:eastAsia="Times New Roman"/>
                <w:b/>
                <w:bCs/>
                <w:color w:val="FFFFFF" w:themeColor="background1"/>
                <w:spacing w:val="0"/>
                <w:lang w:val="es-DO"/>
              </w:rPr>
            </w:pPr>
            <w:r w:rsidRPr="00D0435C">
              <w:rPr>
                <w:rFonts w:eastAsia="Times New Roman"/>
                <w:b/>
                <w:bCs/>
                <w:color w:val="FFFFFF" w:themeColor="background1"/>
                <w:spacing w:val="0"/>
                <w:lang w:val="es-DO"/>
              </w:rPr>
              <w:t>Periodo evaluado</w:t>
            </w:r>
          </w:p>
        </w:tc>
        <w:tc>
          <w:tcPr>
            <w:tcW w:w="2630" w:type="dxa"/>
            <w:tcBorders>
              <w:top w:val="single" w:sz="8" w:space="0" w:color="auto"/>
              <w:left w:val="nil"/>
              <w:bottom w:val="nil"/>
              <w:right w:val="single" w:sz="4" w:space="0" w:color="auto"/>
            </w:tcBorders>
            <w:shd w:val="clear" w:color="auto" w:fill="011C50"/>
            <w:vAlign w:val="center"/>
            <w:hideMark/>
          </w:tcPr>
          <w:p w14:paraId="2554170D" w14:textId="77777777" w:rsidR="003B2462" w:rsidRPr="00D0435C" w:rsidRDefault="003B2462" w:rsidP="00756335">
            <w:pPr>
              <w:spacing w:after="0" w:line="360" w:lineRule="auto"/>
              <w:jc w:val="center"/>
              <w:rPr>
                <w:rFonts w:eastAsia="Times New Roman"/>
                <w:b/>
                <w:bCs/>
                <w:color w:val="FFFFFF" w:themeColor="background1"/>
                <w:spacing w:val="0"/>
                <w:lang w:val="es-DO"/>
              </w:rPr>
            </w:pPr>
            <w:r w:rsidRPr="00D0435C">
              <w:rPr>
                <w:rFonts w:eastAsia="Times New Roman"/>
                <w:b/>
                <w:bCs/>
                <w:color w:val="FFFFFF" w:themeColor="background1"/>
                <w:spacing w:val="0"/>
                <w:lang w:val="es-DO"/>
              </w:rPr>
              <w:t>Calificación obtenida</w:t>
            </w:r>
          </w:p>
        </w:tc>
      </w:tr>
      <w:tr w:rsidR="00310D52" w:rsidRPr="00310D52" w14:paraId="199CBD40" w14:textId="77777777" w:rsidTr="00B33830">
        <w:trPr>
          <w:trHeight w:val="400"/>
        </w:trPr>
        <w:tc>
          <w:tcPr>
            <w:tcW w:w="2877" w:type="dxa"/>
            <w:tcBorders>
              <w:top w:val="nil"/>
              <w:left w:val="single" w:sz="8" w:space="0" w:color="auto"/>
              <w:bottom w:val="single" w:sz="4" w:space="0" w:color="auto"/>
              <w:right w:val="single" w:sz="4" w:space="0" w:color="auto"/>
            </w:tcBorders>
            <w:hideMark/>
          </w:tcPr>
          <w:p w14:paraId="293F90DF"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Enero</w:t>
            </w:r>
          </w:p>
        </w:tc>
        <w:tc>
          <w:tcPr>
            <w:tcW w:w="2630" w:type="dxa"/>
            <w:tcBorders>
              <w:top w:val="nil"/>
              <w:left w:val="nil"/>
              <w:bottom w:val="single" w:sz="4" w:space="0" w:color="auto"/>
              <w:right w:val="single" w:sz="4" w:space="0" w:color="auto"/>
            </w:tcBorders>
          </w:tcPr>
          <w:p w14:paraId="06A596F4"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98.63%</w:t>
            </w:r>
          </w:p>
        </w:tc>
      </w:tr>
      <w:tr w:rsidR="00310D52" w:rsidRPr="00310D52" w14:paraId="5E3E1901" w14:textId="77777777" w:rsidTr="00B33830">
        <w:trPr>
          <w:trHeight w:val="400"/>
        </w:trPr>
        <w:tc>
          <w:tcPr>
            <w:tcW w:w="2877" w:type="dxa"/>
            <w:tcBorders>
              <w:top w:val="nil"/>
              <w:left w:val="single" w:sz="8" w:space="0" w:color="auto"/>
              <w:bottom w:val="single" w:sz="4" w:space="0" w:color="auto"/>
              <w:right w:val="single" w:sz="4" w:space="0" w:color="auto"/>
            </w:tcBorders>
            <w:hideMark/>
          </w:tcPr>
          <w:p w14:paraId="2D14F2FA"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Febrero</w:t>
            </w:r>
          </w:p>
        </w:tc>
        <w:tc>
          <w:tcPr>
            <w:tcW w:w="2630" w:type="dxa"/>
            <w:tcBorders>
              <w:top w:val="nil"/>
              <w:left w:val="nil"/>
              <w:bottom w:val="single" w:sz="4" w:space="0" w:color="auto"/>
              <w:right w:val="single" w:sz="4" w:space="0" w:color="auto"/>
            </w:tcBorders>
          </w:tcPr>
          <w:p w14:paraId="17BA398A"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95.51%</w:t>
            </w:r>
          </w:p>
        </w:tc>
      </w:tr>
      <w:tr w:rsidR="00310D52" w:rsidRPr="00310D52" w14:paraId="0B2B9324" w14:textId="77777777" w:rsidTr="00B33830">
        <w:trPr>
          <w:trHeight w:val="400"/>
        </w:trPr>
        <w:tc>
          <w:tcPr>
            <w:tcW w:w="2877" w:type="dxa"/>
            <w:tcBorders>
              <w:top w:val="nil"/>
              <w:left w:val="single" w:sz="8" w:space="0" w:color="auto"/>
              <w:bottom w:val="single" w:sz="4" w:space="0" w:color="auto"/>
              <w:right w:val="single" w:sz="4" w:space="0" w:color="auto"/>
            </w:tcBorders>
            <w:hideMark/>
          </w:tcPr>
          <w:p w14:paraId="0F522C35"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Marzo</w:t>
            </w:r>
          </w:p>
        </w:tc>
        <w:tc>
          <w:tcPr>
            <w:tcW w:w="2630" w:type="dxa"/>
            <w:tcBorders>
              <w:top w:val="nil"/>
              <w:left w:val="nil"/>
              <w:bottom w:val="single" w:sz="4" w:space="0" w:color="auto"/>
              <w:right w:val="single" w:sz="4" w:space="0" w:color="auto"/>
            </w:tcBorders>
          </w:tcPr>
          <w:p w14:paraId="5E76B5DC"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99.17%</w:t>
            </w:r>
          </w:p>
        </w:tc>
      </w:tr>
      <w:tr w:rsidR="00310D52" w:rsidRPr="00310D52" w14:paraId="43E6026C" w14:textId="77777777" w:rsidTr="00B33830">
        <w:trPr>
          <w:trHeight w:val="400"/>
        </w:trPr>
        <w:tc>
          <w:tcPr>
            <w:tcW w:w="2877" w:type="dxa"/>
            <w:tcBorders>
              <w:top w:val="nil"/>
              <w:left w:val="single" w:sz="8" w:space="0" w:color="auto"/>
              <w:bottom w:val="single" w:sz="4" w:space="0" w:color="auto"/>
              <w:right w:val="single" w:sz="4" w:space="0" w:color="auto"/>
            </w:tcBorders>
            <w:hideMark/>
          </w:tcPr>
          <w:p w14:paraId="21B873DE"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Abril</w:t>
            </w:r>
          </w:p>
        </w:tc>
        <w:tc>
          <w:tcPr>
            <w:tcW w:w="2630" w:type="dxa"/>
            <w:tcBorders>
              <w:top w:val="nil"/>
              <w:left w:val="nil"/>
              <w:bottom w:val="single" w:sz="4" w:space="0" w:color="auto"/>
              <w:right w:val="single" w:sz="4" w:space="0" w:color="auto"/>
            </w:tcBorders>
          </w:tcPr>
          <w:p w14:paraId="3C41D06F"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98.80%</w:t>
            </w:r>
          </w:p>
        </w:tc>
      </w:tr>
      <w:tr w:rsidR="00310D52" w:rsidRPr="00310D52" w14:paraId="35098E10" w14:textId="77777777" w:rsidTr="00B33830">
        <w:trPr>
          <w:trHeight w:val="400"/>
        </w:trPr>
        <w:tc>
          <w:tcPr>
            <w:tcW w:w="2877" w:type="dxa"/>
            <w:tcBorders>
              <w:top w:val="nil"/>
              <w:left w:val="single" w:sz="8" w:space="0" w:color="auto"/>
              <w:bottom w:val="single" w:sz="4" w:space="0" w:color="auto"/>
              <w:right w:val="single" w:sz="4" w:space="0" w:color="auto"/>
            </w:tcBorders>
          </w:tcPr>
          <w:p w14:paraId="69F7C9BD"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Mayo</w:t>
            </w:r>
          </w:p>
        </w:tc>
        <w:tc>
          <w:tcPr>
            <w:tcW w:w="2630" w:type="dxa"/>
            <w:tcBorders>
              <w:top w:val="nil"/>
              <w:left w:val="nil"/>
              <w:bottom w:val="single" w:sz="4" w:space="0" w:color="auto"/>
              <w:right w:val="single" w:sz="4" w:space="0" w:color="auto"/>
            </w:tcBorders>
          </w:tcPr>
          <w:p w14:paraId="62035610"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97.72%</w:t>
            </w:r>
          </w:p>
        </w:tc>
      </w:tr>
      <w:tr w:rsidR="00310D52" w:rsidRPr="00310D52" w14:paraId="0074C446" w14:textId="77777777" w:rsidTr="00B33830">
        <w:trPr>
          <w:trHeight w:val="400"/>
        </w:trPr>
        <w:tc>
          <w:tcPr>
            <w:tcW w:w="2877" w:type="dxa"/>
            <w:tcBorders>
              <w:top w:val="nil"/>
              <w:left w:val="single" w:sz="8" w:space="0" w:color="auto"/>
              <w:bottom w:val="single" w:sz="4" w:space="0" w:color="auto"/>
              <w:right w:val="single" w:sz="4" w:space="0" w:color="auto"/>
            </w:tcBorders>
          </w:tcPr>
          <w:p w14:paraId="4A9BC504"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Junio</w:t>
            </w:r>
          </w:p>
        </w:tc>
        <w:tc>
          <w:tcPr>
            <w:tcW w:w="2630" w:type="dxa"/>
            <w:tcBorders>
              <w:top w:val="nil"/>
              <w:left w:val="nil"/>
              <w:bottom w:val="single" w:sz="4" w:space="0" w:color="auto"/>
              <w:right w:val="single" w:sz="4" w:space="0" w:color="auto"/>
            </w:tcBorders>
          </w:tcPr>
          <w:p w14:paraId="54E2160D"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97.68%</w:t>
            </w:r>
          </w:p>
        </w:tc>
      </w:tr>
      <w:tr w:rsidR="00310D52" w:rsidRPr="00310D52" w14:paraId="365B6AE2" w14:textId="77777777" w:rsidTr="00B33830">
        <w:trPr>
          <w:trHeight w:val="400"/>
        </w:trPr>
        <w:tc>
          <w:tcPr>
            <w:tcW w:w="2877" w:type="dxa"/>
            <w:tcBorders>
              <w:top w:val="nil"/>
              <w:left w:val="single" w:sz="8" w:space="0" w:color="auto"/>
              <w:bottom w:val="single" w:sz="4" w:space="0" w:color="auto"/>
              <w:right w:val="single" w:sz="4" w:space="0" w:color="auto"/>
            </w:tcBorders>
          </w:tcPr>
          <w:p w14:paraId="1A9A52DA"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Julio</w:t>
            </w:r>
          </w:p>
        </w:tc>
        <w:tc>
          <w:tcPr>
            <w:tcW w:w="2630" w:type="dxa"/>
            <w:tcBorders>
              <w:top w:val="nil"/>
              <w:left w:val="nil"/>
              <w:bottom w:val="single" w:sz="4" w:space="0" w:color="auto"/>
              <w:right w:val="single" w:sz="4" w:space="0" w:color="auto"/>
            </w:tcBorders>
          </w:tcPr>
          <w:p w14:paraId="2D692920"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99.24%</w:t>
            </w:r>
          </w:p>
        </w:tc>
      </w:tr>
      <w:tr w:rsidR="00310D52" w:rsidRPr="00310D52" w14:paraId="70144A64" w14:textId="77777777" w:rsidTr="00B33830">
        <w:trPr>
          <w:trHeight w:val="400"/>
        </w:trPr>
        <w:tc>
          <w:tcPr>
            <w:tcW w:w="2877" w:type="dxa"/>
            <w:tcBorders>
              <w:top w:val="nil"/>
              <w:left w:val="single" w:sz="8" w:space="0" w:color="auto"/>
              <w:bottom w:val="single" w:sz="4" w:space="0" w:color="auto"/>
              <w:right w:val="single" w:sz="4" w:space="0" w:color="auto"/>
            </w:tcBorders>
          </w:tcPr>
          <w:p w14:paraId="6C202F69"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Agosto</w:t>
            </w:r>
          </w:p>
        </w:tc>
        <w:tc>
          <w:tcPr>
            <w:tcW w:w="2630" w:type="dxa"/>
            <w:tcBorders>
              <w:top w:val="nil"/>
              <w:left w:val="nil"/>
              <w:bottom w:val="single" w:sz="4" w:space="0" w:color="auto"/>
              <w:right w:val="single" w:sz="4" w:space="0" w:color="auto"/>
            </w:tcBorders>
          </w:tcPr>
          <w:p w14:paraId="29C7C66F"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99.42%</w:t>
            </w:r>
          </w:p>
        </w:tc>
      </w:tr>
      <w:tr w:rsidR="00310D52" w:rsidRPr="00310D52" w14:paraId="7BC3082F" w14:textId="77777777" w:rsidTr="00B33830">
        <w:trPr>
          <w:trHeight w:val="400"/>
        </w:trPr>
        <w:tc>
          <w:tcPr>
            <w:tcW w:w="2877" w:type="dxa"/>
            <w:tcBorders>
              <w:top w:val="nil"/>
              <w:left w:val="single" w:sz="8" w:space="0" w:color="auto"/>
              <w:bottom w:val="single" w:sz="4" w:space="0" w:color="auto"/>
              <w:right w:val="single" w:sz="4" w:space="0" w:color="auto"/>
            </w:tcBorders>
          </w:tcPr>
          <w:p w14:paraId="5576D5C3" w14:textId="77777777"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Septiembre</w:t>
            </w:r>
          </w:p>
        </w:tc>
        <w:tc>
          <w:tcPr>
            <w:tcW w:w="2630" w:type="dxa"/>
            <w:tcBorders>
              <w:top w:val="nil"/>
              <w:left w:val="nil"/>
              <w:bottom w:val="single" w:sz="4" w:space="0" w:color="auto"/>
              <w:right w:val="single" w:sz="4" w:space="0" w:color="auto"/>
            </w:tcBorders>
          </w:tcPr>
          <w:p w14:paraId="4AF3885C" w14:textId="77777777" w:rsidR="003B2462" w:rsidRPr="00310D52" w:rsidRDefault="003B2462" w:rsidP="00756335">
            <w:pPr>
              <w:spacing w:after="0" w:line="360" w:lineRule="auto"/>
              <w:jc w:val="center"/>
              <w:rPr>
                <w:rFonts w:eastAsia="Times New Roman"/>
                <w:spacing w:val="0"/>
                <w:lang w:val="es-DO"/>
              </w:rPr>
            </w:pPr>
            <w:r w:rsidRPr="00310D52">
              <w:rPr>
                <w:rFonts w:eastAsia="Times New Roman"/>
                <w:spacing w:val="0"/>
                <w:lang w:val="es-DO"/>
              </w:rPr>
              <w:t>98.91%</w:t>
            </w:r>
          </w:p>
        </w:tc>
      </w:tr>
      <w:tr w:rsidR="00310D52" w:rsidRPr="00310D52" w14:paraId="06CBD378" w14:textId="77777777" w:rsidTr="00B33830">
        <w:trPr>
          <w:trHeight w:val="400"/>
        </w:trPr>
        <w:tc>
          <w:tcPr>
            <w:tcW w:w="2877" w:type="dxa"/>
            <w:tcBorders>
              <w:top w:val="nil"/>
              <w:left w:val="single" w:sz="8" w:space="0" w:color="auto"/>
              <w:bottom w:val="single" w:sz="4" w:space="0" w:color="auto"/>
              <w:right w:val="single" w:sz="4" w:space="0" w:color="auto"/>
            </w:tcBorders>
          </w:tcPr>
          <w:p w14:paraId="041E0051" w14:textId="3E47BE88" w:rsidR="003B2462" w:rsidRPr="00310D52" w:rsidRDefault="003B2462" w:rsidP="00756335">
            <w:pPr>
              <w:spacing w:after="0" w:line="360" w:lineRule="auto"/>
              <w:jc w:val="both"/>
              <w:rPr>
                <w:rFonts w:eastAsia="Times New Roman"/>
                <w:spacing w:val="0"/>
                <w:lang w:val="es-DO"/>
              </w:rPr>
            </w:pPr>
            <w:r w:rsidRPr="00310D52">
              <w:rPr>
                <w:rFonts w:eastAsia="Times New Roman"/>
                <w:spacing w:val="0"/>
                <w:lang w:val="es-DO"/>
              </w:rPr>
              <w:t>Octubre</w:t>
            </w:r>
          </w:p>
        </w:tc>
        <w:tc>
          <w:tcPr>
            <w:tcW w:w="2630" w:type="dxa"/>
            <w:tcBorders>
              <w:top w:val="nil"/>
              <w:left w:val="nil"/>
              <w:bottom w:val="single" w:sz="4" w:space="0" w:color="auto"/>
              <w:right w:val="single" w:sz="4" w:space="0" w:color="auto"/>
            </w:tcBorders>
            <w:vAlign w:val="center"/>
          </w:tcPr>
          <w:p w14:paraId="0DFEE60A" w14:textId="143E8A2E" w:rsidR="003B2462" w:rsidRPr="00310D52" w:rsidRDefault="002E0ED0" w:rsidP="00756335">
            <w:pPr>
              <w:spacing w:after="0" w:line="360" w:lineRule="auto"/>
              <w:jc w:val="center"/>
              <w:rPr>
                <w:rFonts w:eastAsia="Times New Roman"/>
                <w:spacing w:val="0"/>
                <w:lang w:val="es-DO"/>
              </w:rPr>
            </w:pPr>
            <w:r w:rsidRPr="00310D52">
              <w:rPr>
                <w:rFonts w:eastAsia="Times New Roman"/>
                <w:spacing w:val="0"/>
                <w:lang w:val="es-DO"/>
              </w:rPr>
              <w:t>99.79%</w:t>
            </w:r>
          </w:p>
        </w:tc>
      </w:tr>
      <w:tr w:rsidR="00310D52" w:rsidRPr="00310D52" w14:paraId="4922A2D3" w14:textId="77777777" w:rsidTr="00B33830">
        <w:trPr>
          <w:trHeight w:val="400"/>
        </w:trPr>
        <w:tc>
          <w:tcPr>
            <w:tcW w:w="2877" w:type="dxa"/>
            <w:tcBorders>
              <w:top w:val="nil"/>
              <w:left w:val="single" w:sz="8" w:space="0" w:color="auto"/>
              <w:bottom w:val="single" w:sz="4" w:space="0" w:color="auto"/>
              <w:right w:val="single" w:sz="4" w:space="0" w:color="auto"/>
            </w:tcBorders>
            <w:shd w:val="clear" w:color="auto" w:fill="011C50"/>
            <w:vAlign w:val="center"/>
            <w:hideMark/>
          </w:tcPr>
          <w:p w14:paraId="547C6128" w14:textId="77777777" w:rsidR="003B2462" w:rsidRPr="00D0435C" w:rsidRDefault="003B2462" w:rsidP="00756335">
            <w:pPr>
              <w:spacing w:after="0" w:line="360" w:lineRule="auto"/>
              <w:jc w:val="center"/>
              <w:rPr>
                <w:rFonts w:eastAsia="Times New Roman"/>
                <w:b/>
                <w:bCs/>
                <w:color w:val="FFFFFF" w:themeColor="background1"/>
                <w:spacing w:val="0"/>
                <w:lang w:val="es-DO"/>
              </w:rPr>
            </w:pPr>
            <w:r w:rsidRPr="00D0435C">
              <w:rPr>
                <w:rFonts w:eastAsia="Times New Roman"/>
                <w:b/>
                <w:bCs/>
                <w:color w:val="FFFFFF" w:themeColor="background1"/>
                <w:spacing w:val="0"/>
                <w:lang w:val="es-DO"/>
              </w:rPr>
              <w:t>Promedio General</w:t>
            </w:r>
          </w:p>
        </w:tc>
        <w:tc>
          <w:tcPr>
            <w:tcW w:w="2630" w:type="dxa"/>
            <w:tcBorders>
              <w:top w:val="single" w:sz="4" w:space="0" w:color="auto"/>
              <w:left w:val="single" w:sz="4" w:space="0" w:color="auto"/>
              <w:bottom w:val="single" w:sz="4" w:space="0" w:color="auto"/>
              <w:right w:val="single" w:sz="4" w:space="0" w:color="auto"/>
            </w:tcBorders>
            <w:shd w:val="clear" w:color="auto" w:fill="011C50"/>
            <w:noWrap/>
            <w:vAlign w:val="center"/>
          </w:tcPr>
          <w:p w14:paraId="42A82F12" w14:textId="5BE65212" w:rsidR="003B2462" w:rsidRPr="00D0435C" w:rsidRDefault="002E0ED0" w:rsidP="00756335">
            <w:pPr>
              <w:spacing w:after="0" w:line="360" w:lineRule="auto"/>
              <w:jc w:val="center"/>
              <w:rPr>
                <w:rFonts w:eastAsia="Times New Roman"/>
                <w:b/>
                <w:bCs/>
                <w:color w:val="FFFFFF" w:themeColor="background1"/>
                <w:spacing w:val="0"/>
                <w:lang w:val="es-DO"/>
              </w:rPr>
            </w:pPr>
            <w:r w:rsidRPr="00D0435C">
              <w:rPr>
                <w:rFonts w:eastAsia="Times New Roman"/>
                <w:b/>
                <w:bCs/>
                <w:color w:val="FFFFFF" w:themeColor="background1"/>
                <w:spacing w:val="0"/>
                <w:lang w:val="es-DO"/>
              </w:rPr>
              <w:t>98.49</w:t>
            </w:r>
            <w:r w:rsidR="003B2462" w:rsidRPr="00D0435C">
              <w:rPr>
                <w:rFonts w:eastAsia="Times New Roman"/>
                <w:b/>
                <w:bCs/>
                <w:color w:val="FFFFFF" w:themeColor="background1"/>
                <w:spacing w:val="0"/>
                <w:lang w:val="es-DO"/>
              </w:rPr>
              <w:t>%</w:t>
            </w:r>
          </w:p>
        </w:tc>
      </w:tr>
    </w:tbl>
    <w:p w14:paraId="6C645186" w14:textId="1D0445B6" w:rsidR="003B2462" w:rsidRPr="00310D52" w:rsidRDefault="003B2462" w:rsidP="00756335">
      <w:pPr>
        <w:spacing w:line="360" w:lineRule="auto"/>
        <w:jc w:val="both"/>
        <w:rPr>
          <w:rFonts w:eastAsia="Calibri"/>
          <w:i/>
          <w:iCs/>
          <w:noProof/>
          <w:sz w:val="18"/>
          <w:szCs w:val="18"/>
          <w:lang w:val="es-DO"/>
        </w:rPr>
      </w:pPr>
      <w:r w:rsidRPr="00310D52">
        <w:rPr>
          <w:rFonts w:eastAsia="Calibri"/>
          <w:i/>
          <w:iCs/>
          <w:noProof/>
          <w:sz w:val="20"/>
          <w:szCs w:val="20"/>
          <w:lang w:val="es-DO"/>
        </w:rPr>
        <w:t>Fuente: Oficina de Libre Acceso a la Información</w:t>
      </w:r>
    </w:p>
    <w:p w14:paraId="7827010A" w14:textId="77777777" w:rsidR="003B2462" w:rsidRPr="00310D52" w:rsidRDefault="003B2462" w:rsidP="003B2462">
      <w:pPr>
        <w:spacing w:line="360" w:lineRule="auto"/>
        <w:jc w:val="both"/>
        <w:rPr>
          <w:rFonts w:eastAsia="Calibri"/>
          <w:noProof/>
          <w:lang w:val="es-DO"/>
        </w:rPr>
      </w:pPr>
    </w:p>
    <w:p w14:paraId="74E47913" w14:textId="77777777" w:rsidR="003B2462" w:rsidRPr="00310D52" w:rsidRDefault="003B2462" w:rsidP="003B2462">
      <w:pPr>
        <w:spacing w:line="360" w:lineRule="auto"/>
        <w:jc w:val="both"/>
        <w:rPr>
          <w:rFonts w:eastAsia="Calibri"/>
          <w:noProof/>
          <w:lang w:val="es-DO"/>
        </w:rPr>
      </w:pPr>
    </w:p>
    <w:p w14:paraId="7F0A0919" w14:textId="77777777" w:rsidR="0043570D" w:rsidRPr="00310D52" w:rsidRDefault="0043570D" w:rsidP="00265A48">
      <w:pPr>
        <w:spacing w:line="360" w:lineRule="auto"/>
        <w:jc w:val="both"/>
        <w:rPr>
          <w:rFonts w:eastAsia="Calibri"/>
          <w:noProof/>
          <w:lang w:val="es-DO"/>
        </w:rPr>
      </w:pPr>
    </w:p>
    <w:p w14:paraId="06A827E3" w14:textId="77777777" w:rsidR="00485B71" w:rsidRPr="00310D52" w:rsidRDefault="00485B71" w:rsidP="00756335">
      <w:pPr>
        <w:pStyle w:val="Ttulo1"/>
        <w:rPr>
          <w:rFonts w:cs="Times New Roman"/>
          <w:color w:val="767171"/>
          <w:lang w:val="es-DO"/>
        </w:rPr>
      </w:pPr>
      <w:bookmarkStart w:id="60" w:name="_Toc217050907"/>
      <w:r w:rsidRPr="00310D52">
        <w:rPr>
          <w:rFonts w:cs="Times New Roman"/>
          <w:color w:val="767171"/>
          <w:lang w:val="es-DO"/>
        </w:rPr>
        <w:lastRenderedPageBreak/>
        <w:t>PROYECCIONES AL PRÓXIMO AÑO</w:t>
      </w:r>
      <w:bookmarkEnd w:id="60"/>
    </w:p>
    <w:p w14:paraId="7C0ED659" w14:textId="77777777" w:rsidR="00485B71" w:rsidRPr="00310D52" w:rsidRDefault="00485B71" w:rsidP="00756335">
      <w:pPr>
        <w:spacing w:line="360" w:lineRule="auto"/>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734016" behindDoc="0" locked="0" layoutInCell="1" allowOverlap="1" wp14:anchorId="1C839693" wp14:editId="7F3434E7">
                <wp:simplePos x="0" y="0"/>
                <wp:positionH relativeFrom="margin">
                  <wp:posOffset>2254250</wp:posOffset>
                </wp:positionH>
                <wp:positionV relativeFrom="paragraph">
                  <wp:posOffset>100625</wp:posOffset>
                </wp:positionV>
                <wp:extent cx="463550" cy="0"/>
                <wp:effectExtent l="22860" t="15875" r="18415" b="2222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0AF9C" id="Straight Connector 10" o:spid="_x0000_s1026" style="position:absolute;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77.5pt,7.9pt" to="214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" strokecolor="#ee2a24" strokeweight="2.25pt">
                <v:stroke joinstyle="miter"/>
                <w10:wrap anchorx="margin"/>
              </v:line>
            </w:pict>
          </mc:Fallback>
        </mc:AlternateContent>
      </w:r>
    </w:p>
    <w:p w14:paraId="60421EF3" w14:textId="6CCAC499" w:rsidR="00485B71" w:rsidRPr="00310D52" w:rsidRDefault="00485B71" w:rsidP="00756335">
      <w:pPr>
        <w:spacing w:line="360" w:lineRule="auto"/>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63AA2B9D" w14:textId="77777777" w:rsidR="00485B71" w:rsidRPr="00310D52" w:rsidRDefault="00485B71" w:rsidP="00756335">
      <w:pPr>
        <w:spacing w:line="360" w:lineRule="auto"/>
        <w:jc w:val="both"/>
        <w:rPr>
          <w:rFonts w:eastAsia="Calibri"/>
          <w:lang w:val="es-DO"/>
        </w:rPr>
      </w:pPr>
    </w:p>
    <w:p w14:paraId="35F2CF72" w14:textId="56552B2D" w:rsidR="00C336E5" w:rsidRPr="00310D52" w:rsidRDefault="00C336E5" w:rsidP="00756335">
      <w:pPr>
        <w:pStyle w:val="Prrafodelista"/>
        <w:numPr>
          <w:ilvl w:val="0"/>
          <w:numId w:val="27"/>
        </w:numPr>
        <w:spacing w:line="360" w:lineRule="auto"/>
        <w:jc w:val="both"/>
        <w:rPr>
          <w:rFonts w:eastAsia="Calibri"/>
          <w:noProof/>
          <w:lang w:val="es-DO"/>
        </w:rPr>
      </w:pPr>
      <w:r w:rsidRPr="00310D52">
        <w:rPr>
          <w:rFonts w:eastAsia="Calibri"/>
          <w:noProof/>
          <w:lang w:val="es-DO"/>
        </w:rPr>
        <w:t>Expandir la cobertura de los servicios de atención prehospitalaria y traslado sanitario del sistema 9-1-1 a las provincias que aún no cuentan con el servicio (Bahoruco, Independencia, Elias Piña, Dajabon, Santiago Rodriguez y Monte Cristi).</w:t>
      </w:r>
    </w:p>
    <w:p w14:paraId="4AE0FE21" w14:textId="77777777" w:rsidR="00C336E5" w:rsidRPr="00310D52" w:rsidRDefault="00C336E5" w:rsidP="00756335">
      <w:pPr>
        <w:pStyle w:val="Prrafodelista"/>
        <w:numPr>
          <w:ilvl w:val="0"/>
          <w:numId w:val="27"/>
        </w:numPr>
        <w:spacing w:line="360" w:lineRule="auto"/>
        <w:jc w:val="both"/>
        <w:rPr>
          <w:rFonts w:eastAsia="Calibri"/>
          <w:noProof/>
          <w:lang w:val="es-DO"/>
        </w:rPr>
      </w:pPr>
      <w:r w:rsidRPr="00310D52">
        <w:rPr>
          <w:rFonts w:eastAsia="Calibri"/>
          <w:noProof/>
          <w:lang w:val="es-DO"/>
        </w:rPr>
        <w:t>Mejorar las condiciones básicas e infraestructurales para crear un entorno confortable y motivador que promueva la fidelización del personal y la eficiencia en los servicios.</w:t>
      </w:r>
    </w:p>
    <w:p w14:paraId="6A4B4CA9" w14:textId="77777777" w:rsidR="003E092F" w:rsidRPr="00310D52" w:rsidRDefault="003E092F" w:rsidP="00756335">
      <w:pPr>
        <w:pStyle w:val="Prrafodelista"/>
        <w:numPr>
          <w:ilvl w:val="0"/>
          <w:numId w:val="27"/>
        </w:numPr>
        <w:spacing w:line="360" w:lineRule="auto"/>
        <w:jc w:val="both"/>
        <w:rPr>
          <w:rFonts w:eastAsia="Calibri"/>
          <w:noProof/>
          <w:lang w:val="es-DO"/>
        </w:rPr>
      </w:pPr>
      <w:bookmarkStart w:id="61" w:name="_Hlk216791748"/>
      <w:r w:rsidRPr="00310D52">
        <w:rPr>
          <w:rFonts w:eastAsia="Calibri"/>
          <w:noProof/>
          <w:lang w:val="es-DO"/>
        </w:rPr>
        <w:t>Fortalecer la red de referencia y contrarreferencia del CRUE, consolidando la articulación entre los centros de salud y los servicios de atención extrahospitalaria para garantizar traslados oportunos y una adecuada continuidad del cuidado.</w:t>
      </w:r>
    </w:p>
    <w:p w14:paraId="09BD8869" w14:textId="45E4AC0B" w:rsidR="003E092F" w:rsidRPr="00310D52" w:rsidRDefault="003E092F" w:rsidP="00756335">
      <w:pPr>
        <w:pStyle w:val="Prrafodelista"/>
        <w:numPr>
          <w:ilvl w:val="0"/>
          <w:numId w:val="27"/>
        </w:numPr>
        <w:spacing w:line="360" w:lineRule="auto"/>
        <w:jc w:val="both"/>
        <w:rPr>
          <w:rFonts w:eastAsia="Calibri"/>
          <w:noProof/>
          <w:lang w:val="es-DO"/>
        </w:rPr>
      </w:pPr>
      <w:r w:rsidRPr="00310D52">
        <w:rPr>
          <w:rFonts w:eastAsia="Calibri"/>
          <w:noProof/>
          <w:lang w:val="es-DO"/>
        </w:rPr>
        <w:t>Potenciar el uso de herramientas tecnológicas, mediante la incorporación de aplicaciones, sistemas de geolocalización (GPS) y plataformas digitales que permitan optimizar el despacho, el seguimiento de unidades y la toma de decisiones en tiempo real.</w:t>
      </w:r>
    </w:p>
    <w:p w14:paraId="37338B8E" w14:textId="48969DAF" w:rsidR="003E092F" w:rsidRPr="00310D52" w:rsidRDefault="003E092F" w:rsidP="00756335">
      <w:pPr>
        <w:pStyle w:val="Prrafodelista"/>
        <w:numPr>
          <w:ilvl w:val="0"/>
          <w:numId w:val="27"/>
        </w:numPr>
        <w:spacing w:line="360" w:lineRule="auto"/>
        <w:jc w:val="both"/>
        <w:rPr>
          <w:rFonts w:eastAsia="Calibri"/>
          <w:noProof/>
          <w:lang w:val="es-DO"/>
        </w:rPr>
      </w:pPr>
      <w:r w:rsidRPr="00310D52">
        <w:rPr>
          <w:rFonts w:eastAsia="Calibri"/>
          <w:noProof/>
          <w:lang w:val="es-DO"/>
        </w:rPr>
        <w:t>Impulsar la capacitación continua del personal del CRUE, enfocada en el fortalecimiento de competencias técnicas, clínicas y operativas, alineadas a estándares nacionales e internacionales.</w:t>
      </w:r>
    </w:p>
    <w:p w14:paraId="5ED42046" w14:textId="4F7DA91E" w:rsidR="003E092F" w:rsidRPr="00310D52" w:rsidRDefault="003E092F" w:rsidP="00756335">
      <w:pPr>
        <w:pStyle w:val="Prrafodelista"/>
        <w:numPr>
          <w:ilvl w:val="0"/>
          <w:numId w:val="27"/>
        </w:numPr>
        <w:spacing w:line="360" w:lineRule="auto"/>
        <w:jc w:val="both"/>
        <w:rPr>
          <w:rFonts w:eastAsia="Calibri"/>
          <w:noProof/>
          <w:lang w:val="es-DO"/>
        </w:rPr>
      </w:pPr>
      <w:r w:rsidRPr="00310D52">
        <w:rPr>
          <w:rFonts w:eastAsia="Calibri"/>
          <w:noProof/>
          <w:lang w:val="es-DO"/>
        </w:rPr>
        <w:t>Desarrollar y consolidar indicadores de calidad y desempeño, que permitan medir la oportunidad, eficiencia y efectividad de los servicios coordinados por el CRUE, promoviendo la mejora continua y la rendición de cuentas.</w:t>
      </w:r>
    </w:p>
    <w:p w14:paraId="2B1AF7B2" w14:textId="77777777" w:rsidR="00271134" w:rsidRPr="00310D52" w:rsidRDefault="00271134" w:rsidP="00756335">
      <w:pPr>
        <w:pStyle w:val="Prrafodelista"/>
        <w:numPr>
          <w:ilvl w:val="0"/>
          <w:numId w:val="27"/>
        </w:numPr>
        <w:spacing w:line="360" w:lineRule="auto"/>
        <w:jc w:val="both"/>
        <w:rPr>
          <w:rFonts w:eastAsia="Calibri"/>
          <w:noProof/>
          <w:lang w:val="es-DO"/>
        </w:rPr>
      </w:pPr>
      <w:r w:rsidRPr="00310D52">
        <w:rPr>
          <w:rFonts w:eastAsia="Calibri"/>
          <w:noProof/>
          <w:lang w:val="es-DO"/>
        </w:rPr>
        <w:lastRenderedPageBreak/>
        <w:t>Seguir con el desarrollo de un sistema de monitoreo continuo y eficaz para supervisar las actividades y servicios , promoviendo una cultura de mejora y eficiencia en la atencion brindada.</w:t>
      </w:r>
    </w:p>
    <w:p w14:paraId="449D1F7C" w14:textId="77777777" w:rsidR="00271134" w:rsidRPr="00310D52" w:rsidRDefault="00271134" w:rsidP="00756335">
      <w:pPr>
        <w:pStyle w:val="Prrafodelista"/>
        <w:numPr>
          <w:ilvl w:val="0"/>
          <w:numId w:val="27"/>
        </w:numPr>
        <w:spacing w:line="360" w:lineRule="auto"/>
        <w:jc w:val="both"/>
        <w:rPr>
          <w:rFonts w:eastAsia="Calibri"/>
          <w:noProof/>
          <w:lang w:val="es-DO"/>
        </w:rPr>
      </w:pPr>
      <w:r w:rsidRPr="00310D52">
        <w:rPr>
          <w:rFonts w:eastAsia="Calibri"/>
          <w:noProof/>
          <w:lang w:val="es-DO"/>
        </w:rPr>
        <w:t>Disponer de un sistema de información que recoja un conjunto mínimo de indicadores de actividad y calidad que permita, a través del Benchmarking entre los diferentes servicios, estudiar las áreas de mejora de cada uno de ellos.</w:t>
      </w:r>
    </w:p>
    <w:p w14:paraId="155F7682" w14:textId="77777777" w:rsidR="00271134" w:rsidRPr="00310D52" w:rsidRDefault="00271134" w:rsidP="00756335">
      <w:pPr>
        <w:pStyle w:val="Prrafodelista"/>
        <w:spacing w:line="360" w:lineRule="auto"/>
        <w:jc w:val="both"/>
        <w:rPr>
          <w:rFonts w:eastAsia="Calibri"/>
          <w:noProof/>
          <w:lang w:val="es-DO"/>
        </w:rPr>
      </w:pPr>
    </w:p>
    <w:bookmarkEnd w:id="61"/>
    <w:p w14:paraId="41A43AF7" w14:textId="77777777" w:rsidR="003E00B8" w:rsidRPr="00310D52" w:rsidRDefault="003E00B8" w:rsidP="00756335">
      <w:pPr>
        <w:spacing w:line="360" w:lineRule="auto"/>
        <w:jc w:val="both"/>
        <w:rPr>
          <w:rFonts w:eastAsia="Calibri"/>
          <w:noProof/>
          <w:lang w:val="es-DO"/>
        </w:rPr>
      </w:pPr>
    </w:p>
    <w:p w14:paraId="330F3888" w14:textId="77777777" w:rsidR="00695622" w:rsidRPr="00310D52" w:rsidRDefault="00695622" w:rsidP="00756335">
      <w:pPr>
        <w:rPr>
          <w:lang w:val="es-DO"/>
        </w:rPr>
      </w:pPr>
    </w:p>
    <w:p w14:paraId="7D1C4D40" w14:textId="77777777" w:rsidR="00B224A9" w:rsidRPr="00310D52" w:rsidRDefault="00B224A9" w:rsidP="00B224A9">
      <w:pPr>
        <w:rPr>
          <w:lang w:val="es-DO"/>
        </w:rPr>
      </w:pPr>
    </w:p>
    <w:p w14:paraId="5DB7DBF1" w14:textId="77777777" w:rsidR="00B224A9" w:rsidRPr="00310D52" w:rsidRDefault="00B224A9" w:rsidP="00B224A9">
      <w:pPr>
        <w:rPr>
          <w:lang w:val="es-DO"/>
        </w:rPr>
      </w:pPr>
    </w:p>
    <w:p w14:paraId="7876D20A" w14:textId="77777777" w:rsidR="00B224A9" w:rsidRPr="00310D52" w:rsidRDefault="00B224A9" w:rsidP="00B224A9">
      <w:pPr>
        <w:rPr>
          <w:lang w:val="es-DO"/>
        </w:rPr>
      </w:pPr>
    </w:p>
    <w:p w14:paraId="1101FB1D" w14:textId="77777777" w:rsidR="00B224A9" w:rsidRPr="00310D52" w:rsidRDefault="00B224A9" w:rsidP="00B224A9">
      <w:pPr>
        <w:rPr>
          <w:lang w:val="es-DO"/>
        </w:rPr>
      </w:pPr>
    </w:p>
    <w:p w14:paraId="118FB4FA" w14:textId="77777777" w:rsidR="00B224A9" w:rsidRPr="00310D52" w:rsidRDefault="00B224A9" w:rsidP="00B224A9">
      <w:pPr>
        <w:rPr>
          <w:lang w:val="es-DO"/>
        </w:rPr>
      </w:pPr>
    </w:p>
    <w:p w14:paraId="1DABAB2F" w14:textId="77777777" w:rsidR="00B224A9" w:rsidRPr="00310D52" w:rsidRDefault="00B224A9" w:rsidP="00B224A9">
      <w:pPr>
        <w:rPr>
          <w:lang w:val="es-DO"/>
        </w:rPr>
      </w:pPr>
    </w:p>
    <w:p w14:paraId="7E33D443" w14:textId="77777777" w:rsidR="00B224A9" w:rsidRPr="00310D52" w:rsidRDefault="00B224A9" w:rsidP="00B224A9">
      <w:pPr>
        <w:rPr>
          <w:lang w:val="es-DO"/>
        </w:rPr>
      </w:pPr>
    </w:p>
    <w:p w14:paraId="622F3351" w14:textId="77777777" w:rsidR="00B224A9" w:rsidRPr="00310D52" w:rsidRDefault="00B224A9" w:rsidP="00B224A9">
      <w:pPr>
        <w:rPr>
          <w:lang w:val="es-DO"/>
        </w:rPr>
      </w:pPr>
    </w:p>
    <w:p w14:paraId="26AE0806" w14:textId="77777777" w:rsidR="00B224A9" w:rsidRPr="00310D52" w:rsidRDefault="00B224A9" w:rsidP="00B224A9">
      <w:pPr>
        <w:rPr>
          <w:lang w:val="es-DO"/>
        </w:rPr>
      </w:pPr>
    </w:p>
    <w:p w14:paraId="46B7B76F" w14:textId="77777777" w:rsidR="00B224A9" w:rsidRPr="00310D52" w:rsidRDefault="00B224A9" w:rsidP="00B224A9">
      <w:pPr>
        <w:rPr>
          <w:lang w:val="es-DO"/>
        </w:rPr>
      </w:pPr>
    </w:p>
    <w:p w14:paraId="091A3A72" w14:textId="77777777" w:rsidR="00B224A9" w:rsidRPr="00310D52" w:rsidRDefault="00B224A9" w:rsidP="00B224A9">
      <w:pPr>
        <w:rPr>
          <w:lang w:val="es-DO"/>
        </w:rPr>
      </w:pPr>
    </w:p>
    <w:p w14:paraId="2BF44DA7" w14:textId="77777777" w:rsidR="00B224A9" w:rsidRPr="00310D52" w:rsidRDefault="00B224A9" w:rsidP="00B224A9">
      <w:pPr>
        <w:rPr>
          <w:lang w:val="es-DO"/>
        </w:rPr>
      </w:pPr>
    </w:p>
    <w:p w14:paraId="6817358E" w14:textId="77777777" w:rsidR="00B224A9" w:rsidRPr="00310D52" w:rsidRDefault="00B224A9" w:rsidP="00B224A9">
      <w:pPr>
        <w:rPr>
          <w:lang w:val="es-DO"/>
        </w:rPr>
      </w:pPr>
    </w:p>
    <w:p w14:paraId="70946C51" w14:textId="77777777" w:rsidR="00B224A9" w:rsidRPr="00310D52" w:rsidRDefault="00B224A9" w:rsidP="00B224A9">
      <w:pPr>
        <w:rPr>
          <w:lang w:val="es-DO"/>
        </w:rPr>
      </w:pPr>
    </w:p>
    <w:p w14:paraId="385C10A7" w14:textId="77777777" w:rsidR="00B224A9" w:rsidRPr="00310D52" w:rsidRDefault="00B224A9" w:rsidP="00B224A9">
      <w:pPr>
        <w:rPr>
          <w:lang w:val="es-DO"/>
        </w:rPr>
      </w:pPr>
    </w:p>
    <w:p w14:paraId="3EE7E0A6" w14:textId="77777777" w:rsidR="00B224A9" w:rsidRPr="00310D52" w:rsidRDefault="00B224A9" w:rsidP="00B224A9">
      <w:pPr>
        <w:rPr>
          <w:lang w:val="es-DO"/>
        </w:rPr>
      </w:pPr>
    </w:p>
    <w:p w14:paraId="2E91F00C" w14:textId="77777777" w:rsidR="00B224A9" w:rsidRPr="00310D52" w:rsidRDefault="00B224A9" w:rsidP="00B224A9">
      <w:pPr>
        <w:rPr>
          <w:lang w:val="es-DO"/>
        </w:rPr>
        <w:sectPr w:rsidR="00B224A9" w:rsidRPr="00310D52" w:rsidSect="008B458A">
          <w:headerReference w:type="default" r:id="rId50"/>
          <w:footerReference w:type="default" r:id="rId51"/>
          <w:type w:val="continuous"/>
          <w:pgSz w:w="12240" w:h="15840"/>
          <w:pgMar w:top="1440" w:right="2160" w:bottom="1440" w:left="2160" w:header="720" w:footer="720" w:gutter="0"/>
          <w:pgNumType w:start="1"/>
          <w:cols w:space="720"/>
          <w:docGrid w:linePitch="360"/>
        </w:sectPr>
      </w:pPr>
    </w:p>
    <w:p w14:paraId="10DE8845" w14:textId="48ACAEAF" w:rsidR="00485B71" w:rsidRPr="00310D52" w:rsidRDefault="009870D7" w:rsidP="00485B71">
      <w:pPr>
        <w:pStyle w:val="Ttulo1"/>
        <w:rPr>
          <w:rFonts w:cs="Times New Roman"/>
          <w:color w:val="767171"/>
          <w:lang w:val="es-DO"/>
        </w:rPr>
      </w:pPr>
      <w:bookmarkStart w:id="62" w:name="_Toc217050908"/>
      <w:r w:rsidRPr="00310D52">
        <w:rPr>
          <w:rFonts w:cs="Times New Roman"/>
          <w:color w:val="767171"/>
          <w:lang w:val="es-DO"/>
        </w:rPr>
        <w:lastRenderedPageBreak/>
        <w:t>ANEXOS</w:t>
      </w:r>
      <w:bookmarkEnd w:id="62"/>
      <w:r w:rsidRPr="00310D52">
        <w:rPr>
          <w:rFonts w:cs="Times New Roman"/>
          <w:color w:val="767171"/>
          <w:lang w:val="es-DO"/>
        </w:rPr>
        <w:t xml:space="preserve"> </w:t>
      </w:r>
    </w:p>
    <w:p w14:paraId="441E6667" w14:textId="77777777" w:rsidR="00485B71" w:rsidRPr="00310D52" w:rsidRDefault="00485B71" w:rsidP="00485B71">
      <w:pPr>
        <w:jc w:val="both"/>
        <w:rPr>
          <w:rFonts w:eastAsia="Calibri"/>
          <w:sz w:val="18"/>
          <w:lang w:val="es-DO"/>
        </w:rPr>
      </w:pPr>
      <w:r w:rsidRPr="00310D52">
        <w:rPr>
          <w:rFonts w:eastAsia="Calibri"/>
          <w:noProof/>
          <w:sz w:val="18"/>
          <w:lang w:val="es-DO" w:eastAsia="es-DO"/>
        </w:rPr>
        <mc:AlternateContent>
          <mc:Choice Requires="wps">
            <w:drawing>
              <wp:anchor distT="0" distB="0" distL="114300" distR="114300" simplePos="0" relativeHeight="251736064" behindDoc="0" locked="0" layoutInCell="1" allowOverlap="1" wp14:anchorId="72F28ECC" wp14:editId="603683EA">
                <wp:simplePos x="0" y="0"/>
                <wp:positionH relativeFrom="margin">
                  <wp:align>center</wp:align>
                </wp:positionH>
                <wp:positionV relativeFrom="paragraph">
                  <wp:posOffset>100330</wp:posOffset>
                </wp:positionV>
                <wp:extent cx="463550" cy="0"/>
                <wp:effectExtent l="0" t="19050" r="31750"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3550" cy="0"/>
                        </a:xfrm>
                        <a:prstGeom prst="line">
                          <a:avLst/>
                        </a:prstGeom>
                        <a:noFill/>
                        <a:ln w="28575" algn="ctr">
                          <a:solidFill>
                            <a:srgbClr val="EE2A24"/>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08B583" id="Straight Connector 11" o:spid="_x0000_s1026" style="position:absolute;z-index:2517360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7.9pt" to="36.5pt,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" strokecolor="#ee2a24" strokeweight="2.25pt">
                <v:stroke joinstyle="miter"/>
                <w10:wrap anchorx="margin"/>
              </v:line>
            </w:pict>
          </mc:Fallback>
        </mc:AlternateContent>
      </w:r>
    </w:p>
    <w:p w14:paraId="307318B9" w14:textId="04DD3F2D" w:rsidR="00485B71" w:rsidRPr="00310D52" w:rsidRDefault="00485B71" w:rsidP="00695622">
      <w:pPr>
        <w:jc w:val="center"/>
        <w:rPr>
          <w:rFonts w:eastAsia="Calibri"/>
          <w:szCs w:val="36"/>
          <w:lang w:val="es-DO"/>
        </w:rPr>
      </w:pPr>
      <w:r w:rsidRPr="00310D52">
        <w:rPr>
          <w:rFonts w:eastAsia="Calibri"/>
          <w:szCs w:val="36"/>
          <w:lang w:val="es-DO"/>
        </w:rPr>
        <w:t xml:space="preserve">Memoria </w:t>
      </w:r>
      <w:r w:rsidR="009547F0" w:rsidRPr="00310D52">
        <w:rPr>
          <w:rFonts w:eastAsia="Calibri"/>
          <w:szCs w:val="36"/>
          <w:lang w:val="es-DO"/>
        </w:rPr>
        <w:t>I</w:t>
      </w:r>
      <w:r w:rsidRPr="00310D52">
        <w:rPr>
          <w:rFonts w:eastAsia="Calibri"/>
          <w:szCs w:val="36"/>
          <w:lang w:val="es-DO"/>
        </w:rPr>
        <w:t xml:space="preserve">nstitucional </w:t>
      </w:r>
      <w:r w:rsidR="007471AC" w:rsidRPr="00310D52">
        <w:rPr>
          <w:rFonts w:eastAsia="Calibri"/>
          <w:szCs w:val="36"/>
          <w:lang w:val="es-DO"/>
        </w:rPr>
        <w:t>202</w:t>
      </w:r>
      <w:r w:rsidR="0051332F" w:rsidRPr="00310D52">
        <w:rPr>
          <w:rFonts w:eastAsia="Calibri"/>
          <w:szCs w:val="36"/>
          <w:lang w:val="es-DO"/>
        </w:rPr>
        <w:t>5</w:t>
      </w:r>
    </w:p>
    <w:p w14:paraId="4A09A8D8" w14:textId="77777777" w:rsidR="00B224A9" w:rsidRPr="00310D52" w:rsidRDefault="00B224A9" w:rsidP="004263F5">
      <w:pPr>
        <w:rPr>
          <w:rFonts w:eastAsia="Calibri"/>
          <w:szCs w:val="36"/>
          <w:lang w:val="es-DO"/>
        </w:rPr>
      </w:pPr>
    </w:p>
    <w:p w14:paraId="3F7B4248" w14:textId="610B2D7F" w:rsidR="00695622" w:rsidRPr="00F06D9C" w:rsidRDefault="00996181" w:rsidP="004D6EA1">
      <w:pPr>
        <w:pStyle w:val="Prrafodelista"/>
        <w:numPr>
          <w:ilvl w:val="0"/>
          <w:numId w:val="30"/>
        </w:numPr>
        <w:spacing w:line="360" w:lineRule="auto"/>
        <w:ind w:left="450"/>
        <w:rPr>
          <w:b/>
          <w:bCs/>
          <w:lang w:val="es-DO"/>
        </w:rPr>
      </w:pPr>
      <w:r w:rsidRPr="00F06D9C">
        <w:rPr>
          <w:b/>
          <w:bCs/>
          <w:lang w:val="es-DO"/>
        </w:rPr>
        <w:t>Matriz de Logros Relevantes</w:t>
      </w:r>
    </w:p>
    <w:tbl>
      <w:tblPr>
        <w:tblpPr w:leftFromText="141" w:rightFromText="141" w:vertAnchor="page" w:horzAnchor="margin" w:tblpY="4036"/>
        <w:tblW w:w="11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81"/>
        <w:gridCol w:w="644"/>
        <w:gridCol w:w="810"/>
        <w:gridCol w:w="810"/>
        <w:gridCol w:w="810"/>
        <w:gridCol w:w="810"/>
        <w:gridCol w:w="810"/>
        <w:gridCol w:w="720"/>
        <w:gridCol w:w="630"/>
        <w:gridCol w:w="630"/>
        <w:gridCol w:w="630"/>
        <w:gridCol w:w="630"/>
        <w:gridCol w:w="720"/>
        <w:gridCol w:w="810"/>
      </w:tblGrid>
      <w:tr w:rsidR="00310D52" w:rsidRPr="00310D52" w14:paraId="1195E7C7" w14:textId="77777777" w:rsidTr="004D6EA1">
        <w:trPr>
          <w:trHeight w:val="437"/>
        </w:trPr>
        <w:tc>
          <w:tcPr>
            <w:tcW w:w="1781" w:type="dxa"/>
            <w:tcBorders>
              <w:bottom w:val="single" w:sz="4" w:space="0" w:color="auto"/>
            </w:tcBorders>
            <w:shd w:val="clear" w:color="auto" w:fill="011C50"/>
            <w:tcMar>
              <w:top w:w="0" w:type="dxa"/>
              <w:left w:w="70" w:type="dxa"/>
              <w:bottom w:w="0" w:type="dxa"/>
              <w:right w:w="70" w:type="dxa"/>
            </w:tcMar>
            <w:vAlign w:val="center"/>
            <w:hideMark/>
          </w:tcPr>
          <w:p w14:paraId="4480302D"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Producto / servicio</w:t>
            </w:r>
          </w:p>
        </w:tc>
        <w:tc>
          <w:tcPr>
            <w:tcW w:w="644" w:type="dxa"/>
            <w:tcBorders>
              <w:bottom w:val="single" w:sz="4" w:space="0" w:color="auto"/>
            </w:tcBorders>
            <w:shd w:val="clear" w:color="auto" w:fill="011C50"/>
            <w:tcMar>
              <w:top w:w="0" w:type="dxa"/>
              <w:left w:w="70" w:type="dxa"/>
              <w:bottom w:w="0" w:type="dxa"/>
              <w:right w:w="70" w:type="dxa"/>
            </w:tcMar>
            <w:vAlign w:val="center"/>
            <w:hideMark/>
          </w:tcPr>
          <w:p w14:paraId="04C4F4EF"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Ene</w:t>
            </w:r>
          </w:p>
        </w:tc>
        <w:tc>
          <w:tcPr>
            <w:tcW w:w="810" w:type="dxa"/>
            <w:tcBorders>
              <w:bottom w:val="single" w:sz="4" w:space="0" w:color="auto"/>
            </w:tcBorders>
            <w:shd w:val="clear" w:color="auto" w:fill="011C50"/>
            <w:tcMar>
              <w:top w:w="0" w:type="dxa"/>
              <w:left w:w="70" w:type="dxa"/>
              <w:bottom w:w="0" w:type="dxa"/>
              <w:right w:w="70" w:type="dxa"/>
            </w:tcMar>
            <w:vAlign w:val="center"/>
            <w:hideMark/>
          </w:tcPr>
          <w:p w14:paraId="12F52C59"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Feb</w:t>
            </w:r>
          </w:p>
        </w:tc>
        <w:tc>
          <w:tcPr>
            <w:tcW w:w="810" w:type="dxa"/>
            <w:tcBorders>
              <w:bottom w:val="single" w:sz="4" w:space="0" w:color="auto"/>
            </w:tcBorders>
            <w:shd w:val="clear" w:color="auto" w:fill="011C50"/>
            <w:tcMar>
              <w:top w:w="0" w:type="dxa"/>
              <w:left w:w="70" w:type="dxa"/>
              <w:bottom w:w="0" w:type="dxa"/>
              <w:right w:w="70" w:type="dxa"/>
            </w:tcMar>
            <w:vAlign w:val="center"/>
            <w:hideMark/>
          </w:tcPr>
          <w:p w14:paraId="62B31CA9"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Mar</w:t>
            </w:r>
          </w:p>
        </w:tc>
        <w:tc>
          <w:tcPr>
            <w:tcW w:w="810" w:type="dxa"/>
            <w:tcBorders>
              <w:bottom w:val="single" w:sz="4" w:space="0" w:color="auto"/>
            </w:tcBorders>
            <w:shd w:val="clear" w:color="auto" w:fill="011C50"/>
            <w:tcMar>
              <w:top w:w="0" w:type="dxa"/>
              <w:left w:w="70" w:type="dxa"/>
              <w:bottom w:w="0" w:type="dxa"/>
              <w:right w:w="70" w:type="dxa"/>
            </w:tcMar>
            <w:vAlign w:val="center"/>
            <w:hideMark/>
          </w:tcPr>
          <w:p w14:paraId="0C5F606E"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Abr</w:t>
            </w:r>
          </w:p>
        </w:tc>
        <w:tc>
          <w:tcPr>
            <w:tcW w:w="810" w:type="dxa"/>
            <w:tcBorders>
              <w:bottom w:val="single" w:sz="4" w:space="0" w:color="auto"/>
            </w:tcBorders>
            <w:shd w:val="clear" w:color="auto" w:fill="011C50"/>
            <w:tcMar>
              <w:top w:w="0" w:type="dxa"/>
              <w:left w:w="70" w:type="dxa"/>
              <w:bottom w:w="0" w:type="dxa"/>
              <w:right w:w="70" w:type="dxa"/>
            </w:tcMar>
            <w:vAlign w:val="center"/>
            <w:hideMark/>
          </w:tcPr>
          <w:p w14:paraId="4203180E"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May</w:t>
            </w:r>
          </w:p>
        </w:tc>
        <w:tc>
          <w:tcPr>
            <w:tcW w:w="810" w:type="dxa"/>
            <w:tcBorders>
              <w:bottom w:val="single" w:sz="4" w:space="0" w:color="auto"/>
            </w:tcBorders>
            <w:shd w:val="clear" w:color="auto" w:fill="011C50"/>
            <w:tcMar>
              <w:top w:w="0" w:type="dxa"/>
              <w:left w:w="70" w:type="dxa"/>
              <w:bottom w:w="0" w:type="dxa"/>
              <w:right w:w="70" w:type="dxa"/>
            </w:tcMar>
            <w:vAlign w:val="center"/>
            <w:hideMark/>
          </w:tcPr>
          <w:p w14:paraId="0BBE9E7E" w14:textId="77777777" w:rsidR="004D6EA1" w:rsidRPr="00D0435C" w:rsidRDefault="004D6EA1" w:rsidP="004D6EA1">
            <w:pPr>
              <w:pStyle w:val="xxmsonormal"/>
              <w:spacing w:line="360" w:lineRule="auto"/>
              <w:jc w:val="center"/>
              <w:rPr>
                <w:rFonts w:ascii="Times New Roman" w:hAnsi="Times New Roman" w:cs="Times New Roman"/>
                <w:color w:val="FFFFFF" w:themeColor="background1"/>
                <w:sz w:val="18"/>
                <w:szCs w:val="18"/>
              </w:rPr>
            </w:pPr>
            <w:r w:rsidRPr="00D0435C">
              <w:rPr>
                <w:rFonts w:ascii="Times New Roman" w:hAnsi="Times New Roman" w:cs="Times New Roman"/>
                <w:b/>
                <w:bCs/>
                <w:color w:val="FFFFFF" w:themeColor="background1"/>
                <w:sz w:val="18"/>
                <w:szCs w:val="18"/>
                <w:lang w:val="es-ES"/>
              </w:rPr>
              <w:t>Jun</w:t>
            </w:r>
          </w:p>
        </w:tc>
        <w:tc>
          <w:tcPr>
            <w:tcW w:w="720" w:type="dxa"/>
            <w:shd w:val="clear" w:color="auto" w:fill="011C50"/>
            <w:vAlign w:val="center"/>
          </w:tcPr>
          <w:p w14:paraId="2AD2ED3D"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Jul</w:t>
            </w:r>
          </w:p>
        </w:tc>
        <w:tc>
          <w:tcPr>
            <w:tcW w:w="630" w:type="dxa"/>
            <w:shd w:val="clear" w:color="auto" w:fill="011C50"/>
            <w:vAlign w:val="center"/>
          </w:tcPr>
          <w:p w14:paraId="78E4101A"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Ago</w:t>
            </w:r>
          </w:p>
        </w:tc>
        <w:tc>
          <w:tcPr>
            <w:tcW w:w="630" w:type="dxa"/>
            <w:shd w:val="clear" w:color="auto" w:fill="011C50"/>
            <w:vAlign w:val="center"/>
          </w:tcPr>
          <w:p w14:paraId="604AB891"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Sep</w:t>
            </w:r>
          </w:p>
        </w:tc>
        <w:tc>
          <w:tcPr>
            <w:tcW w:w="630" w:type="dxa"/>
            <w:shd w:val="clear" w:color="auto" w:fill="011C50"/>
            <w:vAlign w:val="center"/>
          </w:tcPr>
          <w:p w14:paraId="2D978E16"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Oct</w:t>
            </w:r>
          </w:p>
        </w:tc>
        <w:tc>
          <w:tcPr>
            <w:tcW w:w="630" w:type="dxa"/>
            <w:shd w:val="clear" w:color="auto" w:fill="011C50"/>
            <w:vAlign w:val="center"/>
          </w:tcPr>
          <w:p w14:paraId="2A329BB0"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Nov</w:t>
            </w:r>
          </w:p>
        </w:tc>
        <w:tc>
          <w:tcPr>
            <w:tcW w:w="720" w:type="dxa"/>
            <w:shd w:val="clear" w:color="auto" w:fill="011C50"/>
            <w:vAlign w:val="center"/>
          </w:tcPr>
          <w:p w14:paraId="728B8387"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Dic</w:t>
            </w:r>
          </w:p>
        </w:tc>
        <w:tc>
          <w:tcPr>
            <w:tcW w:w="810" w:type="dxa"/>
            <w:shd w:val="clear" w:color="auto" w:fill="011C50"/>
            <w:vAlign w:val="center"/>
          </w:tcPr>
          <w:p w14:paraId="6D41D504" w14:textId="77777777" w:rsidR="004D6EA1" w:rsidRPr="00D0435C" w:rsidRDefault="004D6EA1" w:rsidP="004D6EA1">
            <w:pPr>
              <w:pStyle w:val="xxmsonormal"/>
              <w:spacing w:line="360" w:lineRule="auto"/>
              <w:jc w:val="center"/>
              <w:rPr>
                <w:rFonts w:ascii="Times New Roman" w:hAnsi="Times New Roman" w:cs="Times New Roman"/>
                <w:b/>
                <w:bCs/>
                <w:color w:val="FFFFFF" w:themeColor="background1"/>
                <w:sz w:val="18"/>
                <w:szCs w:val="18"/>
                <w:lang w:val="es-ES"/>
              </w:rPr>
            </w:pPr>
            <w:r w:rsidRPr="00D0435C">
              <w:rPr>
                <w:rFonts w:ascii="Times New Roman" w:hAnsi="Times New Roman" w:cs="Times New Roman"/>
                <w:b/>
                <w:bCs/>
                <w:color w:val="FFFFFF" w:themeColor="background1"/>
                <w:sz w:val="18"/>
                <w:szCs w:val="18"/>
                <w:lang w:val="es-ES"/>
              </w:rPr>
              <w:t xml:space="preserve">Total </w:t>
            </w:r>
          </w:p>
        </w:tc>
      </w:tr>
      <w:tr w:rsidR="00310D52" w:rsidRPr="00310D52" w14:paraId="7367C8F5" w14:textId="77777777" w:rsidTr="004D6EA1">
        <w:trPr>
          <w:trHeight w:val="710"/>
        </w:trPr>
        <w:tc>
          <w:tcPr>
            <w:tcW w:w="1781"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EE9715E" w14:textId="77777777" w:rsidR="004D6EA1" w:rsidRPr="00310D52" w:rsidRDefault="004D6EA1" w:rsidP="004D6EA1">
            <w:pPr>
              <w:pStyle w:val="xxmsonormal"/>
              <w:spacing w:line="360" w:lineRule="auto"/>
              <w:jc w:val="center"/>
              <w:rPr>
                <w:rFonts w:ascii="Times New Roman" w:hAnsi="Times New Roman" w:cs="Times New Roman"/>
                <w:color w:val="767171"/>
                <w:sz w:val="18"/>
                <w:szCs w:val="18"/>
              </w:rPr>
            </w:pPr>
            <w:r w:rsidRPr="00310D52">
              <w:rPr>
                <w:rFonts w:ascii="Times New Roman" w:eastAsia="Times New Roman" w:hAnsi="Times New Roman" w:cs="Times New Roman"/>
                <w:color w:val="767171"/>
                <w:sz w:val="18"/>
                <w:szCs w:val="18"/>
              </w:rPr>
              <w:t>03-Población que accede a servicios de atención prehospitalaria</w:t>
            </w:r>
          </w:p>
        </w:tc>
        <w:tc>
          <w:tcPr>
            <w:tcW w:w="64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1CAF0635"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47,904</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18DD7AE"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43,201</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997D912"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48,216</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16F5D7C"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41,422</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78622A19"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44,962</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68F5E8EE"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42,251</w:t>
            </w:r>
          </w:p>
        </w:tc>
        <w:tc>
          <w:tcPr>
            <w:tcW w:w="720" w:type="dxa"/>
            <w:vAlign w:val="center"/>
          </w:tcPr>
          <w:p w14:paraId="3CF5E95F"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44,160</w:t>
            </w:r>
          </w:p>
        </w:tc>
        <w:tc>
          <w:tcPr>
            <w:tcW w:w="630" w:type="dxa"/>
            <w:vAlign w:val="center"/>
          </w:tcPr>
          <w:p w14:paraId="4106C577"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46,050</w:t>
            </w:r>
          </w:p>
        </w:tc>
        <w:tc>
          <w:tcPr>
            <w:tcW w:w="630" w:type="dxa"/>
            <w:vAlign w:val="center"/>
          </w:tcPr>
          <w:p w14:paraId="3BD24BE9"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44,603</w:t>
            </w:r>
          </w:p>
        </w:tc>
        <w:tc>
          <w:tcPr>
            <w:tcW w:w="630" w:type="dxa"/>
            <w:vAlign w:val="center"/>
          </w:tcPr>
          <w:p w14:paraId="0DB6EFC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46,124</w:t>
            </w:r>
          </w:p>
        </w:tc>
        <w:tc>
          <w:tcPr>
            <w:tcW w:w="630" w:type="dxa"/>
            <w:vAlign w:val="center"/>
          </w:tcPr>
          <w:p w14:paraId="3E197FBB"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47,390</w:t>
            </w:r>
          </w:p>
        </w:tc>
        <w:tc>
          <w:tcPr>
            <w:tcW w:w="720" w:type="dxa"/>
            <w:vAlign w:val="center"/>
          </w:tcPr>
          <w:p w14:paraId="73460BFC"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51,653</w:t>
            </w:r>
          </w:p>
        </w:tc>
        <w:tc>
          <w:tcPr>
            <w:tcW w:w="810" w:type="dxa"/>
            <w:vAlign w:val="center"/>
          </w:tcPr>
          <w:p w14:paraId="6146C7B1" w14:textId="77777777" w:rsidR="004D6EA1" w:rsidRPr="00310D52" w:rsidRDefault="004D6EA1" w:rsidP="004D6EA1">
            <w:pPr>
              <w:pStyle w:val="xxmsonormal"/>
              <w:spacing w:line="360" w:lineRule="auto"/>
              <w:jc w:val="center"/>
              <w:rPr>
                <w:rFonts w:ascii="Times New Roman" w:eastAsia="Times New Roman" w:hAnsi="Times New Roman" w:cs="Times New Roman"/>
                <w:b/>
                <w:bCs/>
                <w:color w:val="767171"/>
                <w:sz w:val="18"/>
                <w:szCs w:val="18"/>
              </w:rPr>
            </w:pPr>
            <w:r w:rsidRPr="00310D52">
              <w:rPr>
                <w:rFonts w:ascii="Times New Roman" w:eastAsia="Times New Roman" w:hAnsi="Times New Roman" w:cs="Times New Roman"/>
                <w:b/>
                <w:bCs/>
                <w:color w:val="767171"/>
                <w:sz w:val="18"/>
                <w:szCs w:val="18"/>
              </w:rPr>
              <w:t>547,936</w:t>
            </w:r>
          </w:p>
        </w:tc>
      </w:tr>
      <w:tr w:rsidR="00310D52" w:rsidRPr="00310D52" w14:paraId="416D87A3" w14:textId="77777777" w:rsidTr="004D6EA1">
        <w:trPr>
          <w:trHeight w:val="188"/>
        </w:trPr>
        <w:tc>
          <w:tcPr>
            <w:tcW w:w="1781"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6F956247" w14:textId="77777777" w:rsidR="004D6EA1" w:rsidRPr="00310D52" w:rsidRDefault="004D6EA1" w:rsidP="004D6EA1">
            <w:pPr>
              <w:pStyle w:val="xxmsonormal"/>
              <w:spacing w:line="360" w:lineRule="auto"/>
              <w:jc w:val="center"/>
              <w:rPr>
                <w:rFonts w:ascii="Times New Roman" w:hAnsi="Times New Roman" w:cs="Times New Roman"/>
                <w:color w:val="767171"/>
                <w:sz w:val="18"/>
                <w:szCs w:val="18"/>
              </w:rPr>
            </w:pPr>
            <w:r w:rsidRPr="00310D52">
              <w:rPr>
                <w:rFonts w:ascii="Times New Roman" w:eastAsia="Times New Roman" w:hAnsi="Times New Roman" w:cs="Times New Roman"/>
                <w:color w:val="767171"/>
                <w:sz w:val="18"/>
                <w:szCs w:val="18"/>
              </w:rPr>
              <w:t>Inversión producto (RD$)</w:t>
            </w:r>
          </w:p>
        </w:tc>
        <w:tc>
          <w:tcPr>
            <w:tcW w:w="64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50E8209F"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0.00</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74386414"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202,677,565.44</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26437D2"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171,147,915.05</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49BE4423"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180,316,024.06</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2348CC2E"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111,144,596.57</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3ACDD5E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174,880,562.69</w:t>
            </w:r>
          </w:p>
        </w:tc>
        <w:tc>
          <w:tcPr>
            <w:tcW w:w="720" w:type="dxa"/>
            <w:vAlign w:val="center"/>
          </w:tcPr>
          <w:p w14:paraId="0593ECEB"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106,094,004.74</w:t>
            </w:r>
          </w:p>
        </w:tc>
        <w:tc>
          <w:tcPr>
            <w:tcW w:w="630" w:type="dxa"/>
            <w:vAlign w:val="center"/>
          </w:tcPr>
          <w:p w14:paraId="16F4995D"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112,803,921.41</w:t>
            </w:r>
          </w:p>
        </w:tc>
        <w:tc>
          <w:tcPr>
            <w:tcW w:w="630" w:type="dxa"/>
            <w:vAlign w:val="center"/>
          </w:tcPr>
          <w:p w14:paraId="40AC3BC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93,618,435.67</w:t>
            </w:r>
          </w:p>
        </w:tc>
        <w:tc>
          <w:tcPr>
            <w:tcW w:w="630" w:type="dxa"/>
            <w:vAlign w:val="center"/>
          </w:tcPr>
          <w:p w14:paraId="2A7E4DEF"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51,894,139.06</w:t>
            </w:r>
          </w:p>
        </w:tc>
        <w:tc>
          <w:tcPr>
            <w:tcW w:w="630" w:type="dxa"/>
            <w:vAlign w:val="center"/>
          </w:tcPr>
          <w:p w14:paraId="4A80A157"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27,668,340.83</w:t>
            </w:r>
          </w:p>
        </w:tc>
        <w:tc>
          <w:tcPr>
            <w:tcW w:w="720" w:type="dxa"/>
            <w:vAlign w:val="center"/>
          </w:tcPr>
          <w:p w14:paraId="43BA6670"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116,526,256.20</w:t>
            </w:r>
          </w:p>
        </w:tc>
        <w:tc>
          <w:tcPr>
            <w:tcW w:w="810" w:type="dxa"/>
            <w:vAlign w:val="center"/>
          </w:tcPr>
          <w:p w14:paraId="60F8BCBD" w14:textId="77777777" w:rsidR="004D6EA1" w:rsidRPr="00310D52" w:rsidRDefault="004D6EA1" w:rsidP="004D6EA1">
            <w:pPr>
              <w:pStyle w:val="xxmsonormal"/>
              <w:spacing w:line="360" w:lineRule="auto"/>
              <w:jc w:val="center"/>
              <w:rPr>
                <w:rFonts w:ascii="Times New Roman" w:eastAsia="Times New Roman" w:hAnsi="Times New Roman" w:cs="Times New Roman"/>
                <w:b/>
                <w:bCs/>
                <w:color w:val="767171"/>
                <w:sz w:val="18"/>
                <w:szCs w:val="18"/>
              </w:rPr>
            </w:pPr>
            <w:r w:rsidRPr="00310D52">
              <w:rPr>
                <w:rFonts w:ascii="Times New Roman" w:eastAsia="Times New Roman" w:hAnsi="Times New Roman" w:cs="Times New Roman"/>
                <w:b/>
                <w:bCs/>
                <w:color w:val="767171"/>
                <w:sz w:val="18"/>
                <w:szCs w:val="18"/>
              </w:rPr>
              <w:t>1,348,771,761.72</w:t>
            </w:r>
          </w:p>
        </w:tc>
      </w:tr>
      <w:tr w:rsidR="00310D52" w:rsidRPr="00310D52" w14:paraId="44EA1A1A" w14:textId="77777777" w:rsidTr="004D6EA1">
        <w:trPr>
          <w:trHeight w:val="710"/>
        </w:trPr>
        <w:tc>
          <w:tcPr>
            <w:tcW w:w="1781"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21F93E0D" w14:textId="77777777" w:rsidR="004D6EA1" w:rsidRPr="00310D52" w:rsidRDefault="004D6EA1" w:rsidP="004D6EA1">
            <w:pPr>
              <w:pStyle w:val="xxmsonormal"/>
              <w:spacing w:line="360" w:lineRule="auto"/>
              <w:jc w:val="center"/>
              <w:rPr>
                <w:rFonts w:ascii="Times New Roman" w:hAnsi="Times New Roman" w:cs="Times New Roman"/>
                <w:color w:val="767171"/>
                <w:sz w:val="18"/>
                <w:szCs w:val="18"/>
              </w:rPr>
            </w:pPr>
            <w:r w:rsidRPr="00310D52">
              <w:rPr>
                <w:rFonts w:ascii="Times New Roman" w:eastAsia="Times New Roman" w:hAnsi="Times New Roman" w:cs="Times New Roman"/>
                <w:color w:val="767171"/>
                <w:sz w:val="18"/>
                <w:szCs w:val="18"/>
              </w:rPr>
              <w:t>04-Población que accede a servicios de atención interhospitalario y traslado sanitario</w:t>
            </w:r>
          </w:p>
        </w:tc>
        <w:tc>
          <w:tcPr>
            <w:tcW w:w="64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71CE3749"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5,983</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F2BDF10"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4,834</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21191FE3"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5,791</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5BE90E5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5,294</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6D83FBB"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5,583</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0111A2C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5,269</w:t>
            </w:r>
          </w:p>
        </w:tc>
        <w:tc>
          <w:tcPr>
            <w:tcW w:w="720" w:type="dxa"/>
            <w:vAlign w:val="center"/>
          </w:tcPr>
          <w:p w14:paraId="1C9E8ED3"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5,805</w:t>
            </w:r>
          </w:p>
        </w:tc>
        <w:tc>
          <w:tcPr>
            <w:tcW w:w="630" w:type="dxa"/>
            <w:vAlign w:val="center"/>
          </w:tcPr>
          <w:p w14:paraId="09DA0907"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5,470</w:t>
            </w:r>
          </w:p>
        </w:tc>
        <w:tc>
          <w:tcPr>
            <w:tcW w:w="630" w:type="dxa"/>
            <w:vAlign w:val="center"/>
          </w:tcPr>
          <w:p w14:paraId="0C98FE64"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4,730</w:t>
            </w:r>
          </w:p>
        </w:tc>
        <w:tc>
          <w:tcPr>
            <w:tcW w:w="630" w:type="dxa"/>
            <w:vAlign w:val="center"/>
          </w:tcPr>
          <w:p w14:paraId="6463FDEF"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4,877</w:t>
            </w:r>
          </w:p>
        </w:tc>
        <w:tc>
          <w:tcPr>
            <w:tcW w:w="630" w:type="dxa"/>
            <w:vAlign w:val="center"/>
          </w:tcPr>
          <w:p w14:paraId="6B119379"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5,683</w:t>
            </w:r>
          </w:p>
        </w:tc>
        <w:tc>
          <w:tcPr>
            <w:tcW w:w="720" w:type="dxa"/>
            <w:vAlign w:val="center"/>
          </w:tcPr>
          <w:p w14:paraId="1C5382CB"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5,967</w:t>
            </w:r>
          </w:p>
        </w:tc>
        <w:tc>
          <w:tcPr>
            <w:tcW w:w="810" w:type="dxa"/>
            <w:vAlign w:val="center"/>
          </w:tcPr>
          <w:p w14:paraId="4ACD66B5" w14:textId="77777777" w:rsidR="004D6EA1" w:rsidRPr="00310D52" w:rsidRDefault="004D6EA1" w:rsidP="004D6EA1">
            <w:pPr>
              <w:pStyle w:val="xxmsonormal"/>
              <w:spacing w:line="360" w:lineRule="auto"/>
              <w:jc w:val="center"/>
              <w:rPr>
                <w:rFonts w:ascii="Times New Roman" w:eastAsia="Times New Roman" w:hAnsi="Times New Roman" w:cs="Times New Roman"/>
                <w:b/>
                <w:bCs/>
                <w:color w:val="767171"/>
                <w:sz w:val="18"/>
                <w:szCs w:val="18"/>
              </w:rPr>
            </w:pPr>
            <w:r w:rsidRPr="00310D52">
              <w:rPr>
                <w:rFonts w:ascii="Times New Roman" w:eastAsia="Times New Roman" w:hAnsi="Times New Roman" w:cs="Times New Roman"/>
                <w:b/>
                <w:bCs/>
                <w:color w:val="767171"/>
                <w:sz w:val="18"/>
                <w:szCs w:val="18"/>
              </w:rPr>
              <w:t>65,286</w:t>
            </w:r>
          </w:p>
        </w:tc>
      </w:tr>
      <w:tr w:rsidR="00310D52" w:rsidRPr="00310D52" w14:paraId="06B5E9D9" w14:textId="77777777" w:rsidTr="004D6EA1">
        <w:trPr>
          <w:trHeight w:val="503"/>
        </w:trPr>
        <w:tc>
          <w:tcPr>
            <w:tcW w:w="1781"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63F823F2" w14:textId="77777777" w:rsidR="004D6EA1" w:rsidRPr="00310D52" w:rsidRDefault="004D6EA1" w:rsidP="004D6EA1">
            <w:pPr>
              <w:pStyle w:val="xxmsonormal"/>
              <w:spacing w:line="360" w:lineRule="auto"/>
              <w:jc w:val="center"/>
              <w:rPr>
                <w:rFonts w:ascii="Times New Roman" w:hAnsi="Times New Roman" w:cs="Times New Roman"/>
                <w:color w:val="767171"/>
                <w:sz w:val="18"/>
                <w:szCs w:val="18"/>
              </w:rPr>
            </w:pPr>
            <w:r w:rsidRPr="00310D52">
              <w:rPr>
                <w:rFonts w:ascii="Times New Roman" w:eastAsia="Times New Roman" w:hAnsi="Times New Roman" w:cs="Times New Roman"/>
                <w:color w:val="767171"/>
                <w:sz w:val="18"/>
                <w:szCs w:val="18"/>
              </w:rPr>
              <w:t>Inversión producto (RD$)</w:t>
            </w:r>
          </w:p>
        </w:tc>
        <w:tc>
          <w:tcPr>
            <w:tcW w:w="644"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vAlign w:val="center"/>
          </w:tcPr>
          <w:p w14:paraId="4187E636"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0.00</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159783A8"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15,335,441.35</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70A275EE"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148,753,698.09</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23932A9E"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15,707,901.62</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5FD6AC50"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9,150,694.61</w:t>
            </w:r>
          </w:p>
        </w:tc>
        <w:tc>
          <w:tcPr>
            <w:tcW w:w="810" w:type="dxa"/>
            <w:tcBorders>
              <w:top w:val="single" w:sz="4" w:space="0" w:color="auto"/>
              <w:left w:val="single" w:sz="4" w:space="0" w:color="auto"/>
              <w:bottom w:val="single" w:sz="4" w:space="0" w:color="auto"/>
              <w:right w:val="single" w:sz="4" w:space="0" w:color="auto"/>
            </w:tcBorders>
            <w:noWrap/>
            <w:tcMar>
              <w:top w:w="0" w:type="dxa"/>
              <w:left w:w="70" w:type="dxa"/>
              <w:bottom w:w="0" w:type="dxa"/>
              <w:right w:w="70" w:type="dxa"/>
            </w:tcMar>
            <w:vAlign w:val="center"/>
          </w:tcPr>
          <w:p w14:paraId="499D6CC0"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10,441,308.87</w:t>
            </w:r>
          </w:p>
        </w:tc>
        <w:tc>
          <w:tcPr>
            <w:tcW w:w="720" w:type="dxa"/>
            <w:vAlign w:val="center"/>
          </w:tcPr>
          <w:p w14:paraId="3761ECF9"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2,047,056.71</w:t>
            </w:r>
          </w:p>
        </w:tc>
        <w:tc>
          <w:tcPr>
            <w:tcW w:w="630" w:type="dxa"/>
            <w:vAlign w:val="center"/>
          </w:tcPr>
          <w:p w14:paraId="42CCE386"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3,538,721.16</w:t>
            </w:r>
          </w:p>
        </w:tc>
        <w:tc>
          <w:tcPr>
            <w:tcW w:w="630" w:type="dxa"/>
            <w:vAlign w:val="center"/>
          </w:tcPr>
          <w:p w14:paraId="49416811"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261,130,357.81</w:t>
            </w:r>
          </w:p>
        </w:tc>
        <w:tc>
          <w:tcPr>
            <w:tcW w:w="630" w:type="dxa"/>
            <w:vAlign w:val="center"/>
          </w:tcPr>
          <w:p w14:paraId="6D422C97"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43,179,231.14</w:t>
            </w:r>
          </w:p>
        </w:tc>
        <w:tc>
          <w:tcPr>
            <w:tcW w:w="630" w:type="dxa"/>
            <w:vAlign w:val="center"/>
          </w:tcPr>
          <w:p w14:paraId="1EB58396"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40,727,086.43</w:t>
            </w:r>
          </w:p>
        </w:tc>
        <w:tc>
          <w:tcPr>
            <w:tcW w:w="720" w:type="dxa"/>
            <w:vAlign w:val="center"/>
          </w:tcPr>
          <w:p w14:paraId="3485C62B" w14:textId="77777777" w:rsidR="004D6EA1" w:rsidRPr="00310D52" w:rsidRDefault="004D6EA1" w:rsidP="004D6EA1">
            <w:pPr>
              <w:pStyle w:val="xxmsonormal"/>
              <w:spacing w:line="360" w:lineRule="auto"/>
              <w:jc w:val="center"/>
              <w:rPr>
                <w:rFonts w:ascii="Times New Roman" w:eastAsia="Times New Roman" w:hAnsi="Times New Roman" w:cs="Times New Roman"/>
                <w:color w:val="767171"/>
                <w:sz w:val="18"/>
                <w:szCs w:val="18"/>
              </w:rPr>
            </w:pPr>
            <w:r w:rsidRPr="00310D52">
              <w:rPr>
                <w:rFonts w:ascii="Times New Roman" w:eastAsia="Times New Roman" w:hAnsi="Times New Roman" w:cs="Times New Roman"/>
                <w:color w:val="767171"/>
                <w:sz w:val="18"/>
                <w:szCs w:val="18"/>
              </w:rPr>
              <w:t>25,886,776.94</w:t>
            </w:r>
          </w:p>
        </w:tc>
        <w:tc>
          <w:tcPr>
            <w:tcW w:w="810" w:type="dxa"/>
            <w:vAlign w:val="center"/>
          </w:tcPr>
          <w:p w14:paraId="0B102DB3" w14:textId="77777777" w:rsidR="004D6EA1" w:rsidRPr="00310D52" w:rsidRDefault="004D6EA1" w:rsidP="004D6EA1">
            <w:pPr>
              <w:pStyle w:val="xxmsonormal"/>
              <w:spacing w:line="360" w:lineRule="auto"/>
              <w:jc w:val="center"/>
              <w:rPr>
                <w:rFonts w:ascii="Times New Roman" w:eastAsia="Times New Roman" w:hAnsi="Times New Roman" w:cs="Times New Roman"/>
                <w:b/>
                <w:bCs/>
                <w:color w:val="767171"/>
                <w:sz w:val="18"/>
                <w:szCs w:val="18"/>
              </w:rPr>
            </w:pPr>
            <w:r w:rsidRPr="00310D52">
              <w:rPr>
                <w:rFonts w:ascii="Times New Roman" w:eastAsia="Times New Roman" w:hAnsi="Times New Roman" w:cs="Times New Roman"/>
                <w:b/>
                <w:bCs/>
                <w:color w:val="767171"/>
                <w:sz w:val="18"/>
                <w:szCs w:val="18"/>
              </w:rPr>
              <w:t>575,898,274.73</w:t>
            </w:r>
          </w:p>
        </w:tc>
      </w:tr>
    </w:tbl>
    <w:p w14:paraId="59949DF4" w14:textId="6696CB1B" w:rsidR="004D6EA1" w:rsidRPr="00310D52" w:rsidRDefault="004D6EA1" w:rsidP="004D6EA1">
      <w:pPr>
        <w:spacing w:line="360" w:lineRule="auto"/>
        <w:rPr>
          <w:i/>
          <w:iCs/>
          <w:sz w:val="18"/>
          <w:szCs w:val="18"/>
          <w:lang w:val="es-DO"/>
        </w:rPr>
        <w:sectPr w:rsidR="004D6EA1" w:rsidRPr="00310D52" w:rsidSect="004D6EA1">
          <w:footerReference w:type="default" r:id="rId52"/>
          <w:pgSz w:w="15840" w:h="12240" w:orient="landscape"/>
          <w:pgMar w:top="1440" w:right="2160" w:bottom="1440" w:left="2160" w:header="720" w:footer="720" w:gutter="0"/>
          <w:cols w:space="720"/>
          <w:docGrid w:linePitch="360"/>
        </w:sectPr>
      </w:pPr>
      <w:r w:rsidRPr="00310D52">
        <w:rPr>
          <w:i/>
          <w:iCs/>
          <w:sz w:val="18"/>
          <w:szCs w:val="18"/>
          <w:lang w:val="es-DO"/>
        </w:rPr>
        <w:t>Fuente: SIGEF</w:t>
      </w:r>
    </w:p>
    <w:p w14:paraId="677D36CF" w14:textId="737FFDC7" w:rsidR="00E165D8" w:rsidRPr="00F06D9C" w:rsidRDefault="00E165D8" w:rsidP="00E165D8">
      <w:pPr>
        <w:pStyle w:val="Prrafodelista"/>
        <w:numPr>
          <w:ilvl w:val="0"/>
          <w:numId w:val="30"/>
        </w:numPr>
        <w:ind w:left="450"/>
        <w:rPr>
          <w:b/>
          <w:bCs/>
          <w:lang w:val="es-DO"/>
        </w:rPr>
      </w:pPr>
      <w:r w:rsidRPr="00F06D9C">
        <w:rPr>
          <w:b/>
          <w:bCs/>
          <w:lang w:val="es-DO"/>
        </w:rPr>
        <w:lastRenderedPageBreak/>
        <w:t xml:space="preserve">Matriz de Ejecución </w:t>
      </w:r>
      <w:r w:rsidR="00B224A9" w:rsidRPr="00F06D9C">
        <w:rPr>
          <w:b/>
          <w:bCs/>
          <w:lang w:val="es-DO"/>
        </w:rPr>
        <w:t xml:space="preserve">Presupuestaria. </w:t>
      </w:r>
    </w:p>
    <w:p w14:paraId="1054DF02" w14:textId="77777777" w:rsidR="00B224A9" w:rsidRPr="00310D52" w:rsidRDefault="00B224A9" w:rsidP="00B224A9">
      <w:pPr>
        <w:pStyle w:val="Prrafodelista"/>
        <w:ind w:left="450"/>
        <w:rPr>
          <w:b/>
          <w:bCs/>
          <w:sz w:val="28"/>
          <w:szCs w:val="28"/>
          <w:lang w:val="es-DO"/>
        </w:rPr>
      </w:pPr>
    </w:p>
    <w:tbl>
      <w:tblPr>
        <w:tblW w:w="0" w:type="auto"/>
        <w:tblLook w:val="04A0" w:firstRow="1" w:lastRow="0" w:firstColumn="1" w:lastColumn="0" w:noHBand="0" w:noVBand="1"/>
      </w:tblPr>
      <w:tblGrid>
        <w:gridCol w:w="1141"/>
        <w:gridCol w:w="1236"/>
        <w:gridCol w:w="1305"/>
        <w:gridCol w:w="1305"/>
        <w:gridCol w:w="934"/>
        <w:gridCol w:w="873"/>
        <w:gridCol w:w="1106"/>
      </w:tblGrid>
      <w:tr w:rsidR="00310D52" w:rsidRPr="00310D52" w14:paraId="7C5D7A57" w14:textId="77777777" w:rsidTr="00074F31">
        <w:trPr>
          <w:trHeight w:val="637"/>
        </w:trPr>
        <w:tc>
          <w:tcPr>
            <w:tcW w:w="1070" w:type="dxa"/>
            <w:tcBorders>
              <w:top w:val="single" w:sz="8" w:space="0" w:color="auto"/>
              <w:left w:val="single" w:sz="8" w:space="0" w:color="auto"/>
              <w:bottom w:val="single" w:sz="8" w:space="0" w:color="000000"/>
              <w:right w:val="single" w:sz="8" w:space="0" w:color="auto"/>
            </w:tcBorders>
            <w:shd w:val="clear" w:color="auto" w:fill="011C50"/>
            <w:vAlign w:val="center"/>
            <w:hideMark/>
          </w:tcPr>
          <w:p w14:paraId="35812494"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Código Programa / Subprograma</w:t>
            </w:r>
          </w:p>
        </w:tc>
        <w:tc>
          <w:tcPr>
            <w:tcW w:w="1307" w:type="dxa"/>
            <w:tcBorders>
              <w:top w:val="single" w:sz="8" w:space="0" w:color="auto"/>
              <w:left w:val="single" w:sz="8" w:space="0" w:color="auto"/>
              <w:bottom w:val="single" w:sz="8" w:space="0" w:color="000000"/>
              <w:right w:val="single" w:sz="8" w:space="0" w:color="auto"/>
            </w:tcBorders>
            <w:shd w:val="clear" w:color="auto" w:fill="011C50"/>
            <w:vAlign w:val="center"/>
            <w:hideMark/>
          </w:tcPr>
          <w:p w14:paraId="3665043A"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Nombre del Programa</w:t>
            </w:r>
          </w:p>
        </w:tc>
        <w:tc>
          <w:tcPr>
            <w:tcW w:w="1305" w:type="dxa"/>
            <w:tcBorders>
              <w:top w:val="single" w:sz="8" w:space="0" w:color="auto"/>
              <w:left w:val="single" w:sz="8" w:space="0" w:color="auto"/>
              <w:bottom w:val="single" w:sz="8" w:space="0" w:color="000000"/>
              <w:right w:val="single" w:sz="8" w:space="0" w:color="auto"/>
            </w:tcBorders>
            <w:shd w:val="clear" w:color="auto" w:fill="011C50"/>
            <w:vAlign w:val="center"/>
            <w:hideMark/>
          </w:tcPr>
          <w:p w14:paraId="5C600354" w14:textId="791C5082"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Asignación presupuestaria (RD$)</w:t>
            </w:r>
          </w:p>
        </w:tc>
        <w:tc>
          <w:tcPr>
            <w:tcW w:w="0" w:type="auto"/>
            <w:tcBorders>
              <w:top w:val="single" w:sz="8" w:space="0" w:color="auto"/>
              <w:left w:val="nil"/>
              <w:right w:val="single" w:sz="8" w:space="0" w:color="auto"/>
            </w:tcBorders>
            <w:shd w:val="clear" w:color="auto" w:fill="011C50"/>
            <w:vAlign w:val="center"/>
            <w:hideMark/>
          </w:tcPr>
          <w:p w14:paraId="720D7AC8"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 xml:space="preserve">Ejecución </w:t>
            </w:r>
          </w:p>
          <w:p w14:paraId="6A6C9AAF" w14:textId="0A2C3056"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 xml:space="preserve"> (RD$)</w:t>
            </w:r>
          </w:p>
        </w:tc>
        <w:tc>
          <w:tcPr>
            <w:tcW w:w="0" w:type="auto"/>
            <w:tcBorders>
              <w:top w:val="single" w:sz="8" w:space="0" w:color="auto"/>
              <w:left w:val="single" w:sz="8" w:space="0" w:color="auto"/>
              <w:bottom w:val="single" w:sz="8" w:space="0" w:color="000000"/>
              <w:right w:val="single" w:sz="8" w:space="0" w:color="auto"/>
            </w:tcBorders>
            <w:shd w:val="clear" w:color="auto" w:fill="011C50"/>
            <w:vAlign w:val="center"/>
            <w:hideMark/>
          </w:tcPr>
          <w:p w14:paraId="63771E5D"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Cantidad de Productos Generados por Programa</w:t>
            </w:r>
          </w:p>
        </w:tc>
        <w:tc>
          <w:tcPr>
            <w:tcW w:w="0" w:type="auto"/>
            <w:tcBorders>
              <w:top w:val="single" w:sz="8" w:space="0" w:color="auto"/>
              <w:left w:val="single" w:sz="8" w:space="0" w:color="auto"/>
              <w:bottom w:val="single" w:sz="8" w:space="0" w:color="000000"/>
              <w:right w:val="single" w:sz="8" w:space="0" w:color="auto"/>
            </w:tcBorders>
            <w:shd w:val="clear" w:color="auto" w:fill="011C50"/>
            <w:vAlign w:val="center"/>
            <w:hideMark/>
          </w:tcPr>
          <w:p w14:paraId="6BD4BA1D"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Índice de Ejecución %</w:t>
            </w:r>
          </w:p>
        </w:tc>
        <w:tc>
          <w:tcPr>
            <w:tcW w:w="0" w:type="auto"/>
            <w:tcBorders>
              <w:top w:val="single" w:sz="8" w:space="0" w:color="auto"/>
              <w:left w:val="single" w:sz="8" w:space="0" w:color="auto"/>
              <w:bottom w:val="single" w:sz="8" w:space="0" w:color="000000"/>
              <w:right w:val="single" w:sz="8" w:space="0" w:color="auto"/>
            </w:tcBorders>
            <w:shd w:val="clear" w:color="auto" w:fill="011C50"/>
            <w:vAlign w:val="center"/>
            <w:hideMark/>
          </w:tcPr>
          <w:p w14:paraId="5AF4CCB1" w14:textId="77777777" w:rsidR="00B24E6C" w:rsidRPr="00D0435C" w:rsidRDefault="00B24E6C" w:rsidP="00B24E6C">
            <w:pPr>
              <w:spacing w:after="0" w:line="24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Participación ejecución por programa (%)</w:t>
            </w:r>
          </w:p>
        </w:tc>
      </w:tr>
      <w:tr w:rsidR="00310D52" w:rsidRPr="00310D52" w14:paraId="6C75B102" w14:textId="77777777" w:rsidTr="00074F31">
        <w:trPr>
          <w:trHeight w:val="142"/>
        </w:trPr>
        <w:tc>
          <w:tcPr>
            <w:tcW w:w="1070" w:type="dxa"/>
            <w:tcBorders>
              <w:top w:val="nil"/>
              <w:left w:val="single" w:sz="8" w:space="0" w:color="auto"/>
              <w:bottom w:val="single" w:sz="8" w:space="0" w:color="auto"/>
              <w:right w:val="single" w:sz="8" w:space="0" w:color="auto"/>
            </w:tcBorders>
            <w:noWrap/>
            <w:vAlign w:val="center"/>
            <w:hideMark/>
          </w:tcPr>
          <w:p w14:paraId="32432E13" w14:textId="77777777" w:rsidR="00D53BB6"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14</w:t>
            </w:r>
          </w:p>
        </w:tc>
        <w:tc>
          <w:tcPr>
            <w:tcW w:w="1307" w:type="dxa"/>
            <w:tcBorders>
              <w:top w:val="nil"/>
              <w:left w:val="nil"/>
              <w:bottom w:val="single" w:sz="8" w:space="0" w:color="auto"/>
              <w:right w:val="single" w:sz="8" w:space="0" w:color="auto"/>
            </w:tcBorders>
            <w:vAlign w:val="center"/>
            <w:hideMark/>
          </w:tcPr>
          <w:p w14:paraId="564B6FA2" w14:textId="77777777" w:rsidR="00D53BB6"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Atención de Emergencias Médicas</w:t>
            </w:r>
          </w:p>
        </w:tc>
        <w:tc>
          <w:tcPr>
            <w:tcW w:w="1305" w:type="dxa"/>
            <w:tcBorders>
              <w:top w:val="nil"/>
              <w:left w:val="nil"/>
              <w:bottom w:val="single" w:sz="8" w:space="0" w:color="auto"/>
              <w:right w:val="single" w:sz="8" w:space="0" w:color="auto"/>
            </w:tcBorders>
            <w:noWrap/>
            <w:vAlign w:val="center"/>
            <w:hideMark/>
          </w:tcPr>
          <w:p w14:paraId="270686CD" w14:textId="29AE0FA3" w:rsidR="00D53BB6" w:rsidRPr="00310D52" w:rsidRDefault="00D53BB6"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7,256,831,790.00</w:t>
            </w:r>
          </w:p>
        </w:tc>
        <w:tc>
          <w:tcPr>
            <w:tcW w:w="0" w:type="auto"/>
            <w:tcBorders>
              <w:top w:val="nil"/>
              <w:left w:val="nil"/>
              <w:bottom w:val="single" w:sz="8" w:space="0" w:color="auto"/>
              <w:right w:val="single" w:sz="8" w:space="0" w:color="auto"/>
            </w:tcBorders>
            <w:noWrap/>
            <w:vAlign w:val="center"/>
            <w:hideMark/>
          </w:tcPr>
          <w:p w14:paraId="406E1DFF" w14:textId="6762B07C" w:rsidR="00D53BB6" w:rsidRPr="00310D52" w:rsidRDefault="00D53BB6"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7,108,560,293.31</w:t>
            </w:r>
          </w:p>
        </w:tc>
        <w:tc>
          <w:tcPr>
            <w:tcW w:w="0" w:type="auto"/>
            <w:tcBorders>
              <w:top w:val="nil"/>
              <w:left w:val="nil"/>
              <w:bottom w:val="single" w:sz="8" w:space="0" w:color="auto"/>
              <w:right w:val="single" w:sz="8" w:space="0" w:color="auto"/>
            </w:tcBorders>
            <w:noWrap/>
            <w:vAlign w:val="center"/>
            <w:hideMark/>
          </w:tcPr>
          <w:p w14:paraId="5B8189F7" w14:textId="77777777" w:rsidR="00D53BB6"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2</w:t>
            </w:r>
          </w:p>
        </w:tc>
        <w:tc>
          <w:tcPr>
            <w:tcW w:w="0" w:type="auto"/>
            <w:tcBorders>
              <w:top w:val="nil"/>
              <w:left w:val="nil"/>
              <w:bottom w:val="single" w:sz="8" w:space="0" w:color="auto"/>
              <w:right w:val="single" w:sz="8" w:space="0" w:color="auto"/>
            </w:tcBorders>
            <w:noWrap/>
            <w:vAlign w:val="center"/>
          </w:tcPr>
          <w:p w14:paraId="1396A9C4" w14:textId="47F84973" w:rsidR="00D53BB6"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98%</w:t>
            </w:r>
          </w:p>
        </w:tc>
        <w:tc>
          <w:tcPr>
            <w:tcW w:w="0" w:type="auto"/>
            <w:tcBorders>
              <w:top w:val="nil"/>
              <w:left w:val="nil"/>
              <w:bottom w:val="single" w:sz="8" w:space="0" w:color="auto"/>
              <w:right w:val="single" w:sz="8" w:space="0" w:color="auto"/>
            </w:tcBorders>
            <w:noWrap/>
            <w:vAlign w:val="center"/>
          </w:tcPr>
          <w:p w14:paraId="15FB804C" w14:textId="7A21A2E0" w:rsidR="00D53BB6"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100%</w:t>
            </w:r>
          </w:p>
        </w:tc>
      </w:tr>
      <w:tr w:rsidR="00310D52" w:rsidRPr="00310D52" w14:paraId="173CF506" w14:textId="77777777" w:rsidTr="004D6EA1">
        <w:trPr>
          <w:trHeight w:val="358"/>
        </w:trPr>
        <w:tc>
          <w:tcPr>
            <w:tcW w:w="1070" w:type="dxa"/>
            <w:tcBorders>
              <w:top w:val="nil"/>
              <w:left w:val="single" w:sz="8" w:space="0" w:color="auto"/>
              <w:bottom w:val="single" w:sz="8" w:space="0" w:color="auto"/>
              <w:right w:val="single" w:sz="8" w:space="0" w:color="auto"/>
            </w:tcBorders>
            <w:noWrap/>
            <w:vAlign w:val="center"/>
            <w:hideMark/>
          </w:tcPr>
          <w:p w14:paraId="7A148BEA"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1</w:t>
            </w:r>
          </w:p>
        </w:tc>
        <w:tc>
          <w:tcPr>
            <w:tcW w:w="1307" w:type="dxa"/>
            <w:tcBorders>
              <w:top w:val="nil"/>
              <w:left w:val="nil"/>
              <w:bottom w:val="single" w:sz="8" w:space="0" w:color="auto"/>
              <w:right w:val="single" w:sz="8" w:space="0" w:color="auto"/>
            </w:tcBorders>
            <w:vAlign w:val="center"/>
            <w:hideMark/>
          </w:tcPr>
          <w:p w14:paraId="01488952"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Acciones Comunes P14</w:t>
            </w:r>
          </w:p>
        </w:tc>
        <w:tc>
          <w:tcPr>
            <w:tcW w:w="1305" w:type="dxa"/>
            <w:tcBorders>
              <w:top w:val="nil"/>
              <w:left w:val="nil"/>
              <w:bottom w:val="single" w:sz="8" w:space="0" w:color="auto"/>
              <w:right w:val="single" w:sz="8" w:space="0" w:color="auto"/>
            </w:tcBorders>
            <w:noWrap/>
            <w:vAlign w:val="center"/>
            <w:hideMark/>
          </w:tcPr>
          <w:p w14:paraId="56C8C543"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5,135,687,842.00</w:t>
            </w:r>
          </w:p>
        </w:tc>
        <w:tc>
          <w:tcPr>
            <w:tcW w:w="0" w:type="auto"/>
            <w:tcBorders>
              <w:top w:val="nil"/>
              <w:left w:val="nil"/>
              <w:bottom w:val="single" w:sz="8" w:space="0" w:color="auto"/>
              <w:right w:val="single" w:sz="8" w:space="0" w:color="auto"/>
            </w:tcBorders>
            <w:noWrap/>
            <w:vAlign w:val="center"/>
            <w:hideMark/>
          </w:tcPr>
          <w:p w14:paraId="6F447733"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5,326,303,290.00</w:t>
            </w:r>
          </w:p>
        </w:tc>
        <w:tc>
          <w:tcPr>
            <w:tcW w:w="0" w:type="auto"/>
            <w:tcBorders>
              <w:top w:val="nil"/>
              <w:left w:val="nil"/>
              <w:bottom w:val="single" w:sz="8" w:space="0" w:color="auto"/>
              <w:right w:val="single" w:sz="8" w:space="0" w:color="auto"/>
            </w:tcBorders>
            <w:noWrap/>
            <w:vAlign w:val="center"/>
            <w:hideMark/>
          </w:tcPr>
          <w:p w14:paraId="309DDF5B" w14:textId="1B38DA72" w:rsidR="00B24E6C" w:rsidRPr="00310D52" w:rsidRDefault="00F06D9C" w:rsidP="00074F31">
            <w:pPr>
              <w:spacing w:after="0" w:line="360" w:lineRule="auto"/>
              <w:jc w:val="center"/>
              <w:rPr>
                <w:rFonts w:eastAsia="Times New Roman"/>
                <w:spacing w:val="0"/>
                <w:sz w:val="20"/>
                <w:szCs w:val="20"/>
                <w:lang w:val="es-DO"/>
              </w:rPr>
            </w:pPr>
            <w:r>
              <w:rPr>
                <w:rFonts w:eastAsia="Times New Roman"/>
                <w:spacing w:val="0"/>
                <w:sz w:val="20"/>
                <w:szCs w:val="20"/>
                <w:lang w:val="es-DO"/>
              </w:rPr>
              <w:t>1</w:t>
            </w:r>
          </w:p>
        </w:tc>
        <w:tc>
          <w:tcPr>
            <w:tcW w:w="0" w:type="auto"/>
            <w:tcBorders>
              <w:top w:val="nil"/>
              <w:left w:val="nil"/>
              <w:bottom w:val="single" w:sz="8" w:space="0" w:color="auto"/>
              <w:right w:val="single" w:sz="8" w:space="0" w:color="auto"/>
            </w:tcBorders>
            <w:noWrap/>
            <w:vAlign w:val="center"/>
            <w:hideMark/>
          </w:tcPr>
          <w:p w14:paraId="338E7B67"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104%</w:t>
            </w:r>
          </w:p>
        </w:tc>
        <w:tc>
          <w:tcPr>
            <w:tcW w:w="0" w:type="auto"/>
            <w:tcBorders>
              <w:top w:val="nil"/>
              <w:left w:val="nil"/>
              <w:bottom w:val="single" w:sz="8" w:space="0" w:color="auto"/>
              <w:right w:val="single" w:sz="8" w:space="0" w:color="auto"/>
            </w:tcBorders>
            <w:noWrap/>
            <w:vAlign w:val="center"/>
            <w:hideMark/>
          </w:tcPr>
          <w:p w14:paraId="7C20F3FC" w14:textId="61B88435"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7</w:t>
            </w:r>
            <w:r w:rsidR="00D53BB6" w:rsidRPr="00310D52">
              <w:rPr>
                <w:rFonts w:eastAsia="Times New Roman"/>
                <w:spacing w:val="0"/>
                <w:sz w:val="20"/>
                <w:szCs w:val="20"/>
                <w:lang w:val="es-DO"/>
              </w:rPr>
              <w:t>4.92</w:t>
            </w:r>
            <w:r w:rsidRPr="00310D52">
              <w:rPr>
                <w:rFonts w:eastAsia="Times New Roman"/>
                <w:spacing w:val="0"/>
                <w:sz w:val="20"/>
                <w:szCs w:val="20"/>
                <w:lang w:val="es-DO"/>
              </w:rPr>
              <w:t>%</w:t>
            </w:r>
          </w:p>
        </w:tc>
      </w:tr>
      <w:tr w:rsidR="00310D52" w:rsidRPr="00310D52" w14:paraId="41B4BA19" w14:textId="77777777" w:rsidTr="004D6EA1">
        <w:trPr>
          <w:trHeight w:val="637"/>
        </w:trPr>
        <w:tc>
          <w:tcPr>
            <w:tcW w:w="1070" w:type="dxa"/>
            <w:tcBorders>
              <w:top w:val="nil"/>
              <w:left w:val="single" w:sz="8" w:space="0" w:color="auto"/>
              <w:bottom w:val="single" w:sz="8" w:space="0" w:color="auto"/>
              <w:right w:val="single" w:sz="8" w:space="0" w:color="auto"/>
            </w:tcBorders>
            <w:noWrap/>
            <w:vAlign w:val="center"/>
            <w:hideMark/>
          </w:tcPr>
          <w:p w14:paraId="18909F01"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3</w:t>
            </w:r>
          </w:p>
        </w:tc>
        <w:tc>
          <w:tcPr>
            <w:tcW w:w="1307" w:type="dxa"/>
            <w:tcBorders>
              <w:top w:val="nil"/>
              <w:left w:val="nil"/>
              <w:bottom w:val="single" w:sz="8" w:space="0" w:color="auto"/>
              <w:right w:val="single" w:sz="8" w:space="0" w:color="auto"/>
            </w:tcBorders>
            <w:vAlign w:val="center"/>
            <w:hideMark/>
          </w:tcPr>
          <w:p w14:paraId="7F30A933"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Población que accede a servicios de atención prehospitalaria</w:t>
            </w:r>
          </w:p>
        </w:tc>
        <w:tc>
          <w:tcPr>
            <w:tcW w:w="1305" w:type="dxa"/>
            <w:tcBorders>
              <w:top w:val="nil"/>
              <w:left w:val="nil"/>
              <w:bottom w:val="single" w:sz="8" w:space="0" w:color="auto"/>
              <w:right w:val="single" w:sz="8" w:space="0" w:color="auto"/>
            </w:tcBorders>
            <w:noWrap/>
            <w:vAlign w:val="center"/>
            <w:hideMark/>
          </w:tcPr>
          <w:p w14:paraId="08D80071"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1,484,529,899.00</w:t>
            </w:r>
          </w:p>
        </w:tc>
        <w:tc>
          <w:tcPr>
            <w:tcW w:w="0" w:type="auto"/>
            <w:tcBorders>
              <w:top w:val="nil"/>
              <w:left w:val="nil"/>
              <w:bottom w:val="single" w:sz="8" w:space="0" w:color="auto"/>
              <w:right w:val="single" w:sz="8" w:space="0" w:color="auto"/>
            </w:tcBorders>
            <w:noWrap/>
            <w:vAlign w:val="center"/>
            <w:hideMark/>
          </w:tcPr>
          <w:p w14:paraId="6195ACB7"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1,232,245,505.52</w:t>
            </w:r>
          </w:p>
        </w:tc>
        <w:tc>
          <w:tcPr>
            <w:tcW w:w="0" w:type="auto"/>
            <w:tcBorders>
              <w:top w:val="nil"/>
              <w:left w:val="nil"/>
              <w:bottom w:val="single" w:sz="8" w:space="0" w:color="auto"/>
              <w:right w:val="single" w:sz="8" w:space="0" w:color="auto"/>
            </w:tcBorders>
            <w:noWrap/>
            <w:vAlign w:val="center"/>
          </w:tcPr>
          <w:p w14:paraId="460FD520" w14:textId="5F936B02" w:rsidR="00B24E6C" w:rsidRPr="00310D52" w:rsidRDefault="00F06D9C" w:rsidP="00074F31">
            <w:pPr>
              <w:spacing w:after="0" w:line="360" w:lineRule="auto"/>
              <w:jc w:val="center"/>
              <w:rPr>
                <w:rFonts w:eastAsia="Times New Roman"/>
                <w:spacing w:val="0"/>
                <w:sz w:val="20"/>
                <w:szCs w:val="20"/>
                <w:lang w:val="es-DO"/>
              </w:rPr>
            </w:pPr>
            <w:r>
              <w:rPr>
                <w:rFonts w:eastAsia="Times New Roman"/>
                <w:spacing w:val="0"/>
                <w:sz w:val="20"/>
                <w:szCs w:val="20"/>
                <w:lang w:val="es-DO"/>
              </w:rPr>
              <w:t>1</w:t>
            </w:r>
          </w:p>
        </w:tc>
        <w:tc>
          <w:tcPr>
            <w:tcW w:w="0" w:type="auto"/>
            <w:tcBorders>
              <w:top w:val="nil"/>
              <w:left w:val="nil"/>
              <w:bottom w:val="single" w:sz="8" w:space="0" w:color="auto"/>
              <w:right w:val="single" w:sz="8" w:space="0" w:color="auto"/>
            </w:tcBorders>
            <w:noWrap/>
            <w:vAlign w:val="center"/>
            <w:hideMark/>
          </w:tcPr>
          <w:p w14:paraId="687014FF"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83%</w:t>
            </w:r>
          </w:p>
        </w:tc>
        <w:tc>
          <w:tcPr>
            <w:tcW w:w="0" w:type="auto"/>
            <w:tcBorders>
              <w:top w:val="nil"/>
              <w:left w:val="nil"/>
              <w:bottom w:val="single" w:sz="8" w:space="0" w:color="auto"/>
              <w:right w:val="single" w:sz="8" w:space="0" w:color="auto"/>
            </w:tcBorders>
            <w:noWrap/>
            <w:vAlign w:val="center"/>
            <w:hideMark/>
          </w:tcPr>
          <w:p w14:paraId="2EE27BD1" w14:textId="510CA291"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17</w:t>
            </w:r>
            <w:r w:rsidR="00D53BB6" w:rsidRPr="00310D52">
              <w:rPr>
                <w:rFonts w:eastAsia="Times New Roman"/>
                <w:spacing w:val="0"/>
                <w:sz w:val="20"/>
                <w:szCs w:val="20"/>
                <w:lang w:val="es-DO"/>
              </w:rPr>
              <w:t>.33</w:t>
            </w:r>
            <w:r w:rsidRPr="00310D52">
              <w:rPr>
                <w:rFonts w:eastAsia="Times New Roman"/>
                <w:spacing w:val="0"/>
                <w:sz w:val="20"/>
                <w:szCs w:val="20"/>
                <w:lang w:val="es-DO"/>
              </w:rPr>
              <w:t>%</w:t>
            </w:r>
          </w:p>
        </w:tc>
      </w:tr>
      <w:tr w:rsidR="00310D52" w:rsidRPr="00310D52" w14:paraId="254A59D7" w14:textId="77777777" w:rsidTr="00074F31">
        <w:trPr>
          <w:trHeight w:val="853"/>
        </w:trPr>
        <w:tc>
          <w:tcPr>
            <w:tcW w:w="1070" w:type="dxa"/>
            <w:tcBorders>
              <w:top w:val="nil"/>
              <w:left w:val="single" w:sz="8" w:space="0" w:color="auto"/>
              <w:bottom w:val="single" w:sz="8" w:space="0" w:color="auto"/>
              <w:right w:val="single" w:sz="8" w:space="0" w:color="auto"/>
            </w:tcBorders>
            <w:noWrap/>
            <w:vAlign w:val="center"/>
            <w:hideMark/>
          </w:tcPr>
          <w:p w14:paraId="4D541B43"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4</w:t>
            </w:r>
          </w:p>
        </w:tc>
        <w:tc>
          <w:tcPr>
            <w:tcW w:w="1307" w:type="dxa"/>
            <w:tcBorders>
              <w:top w:val="nil"/>
              <w:left w:val="nil"/>
              <w:bottom w:val="single" w:sz="8" w:space="0" w:color="auto"/>
              <w:right w:val="single" w:sz="8" w:space="0" w:color="auto"/>
            </w:tcBorders>
            <w:vAlign w:val="center"/>
            <w:hideMark/>
          </w:tcPr>
          <w:p w14:paraId="2EA6AC70"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Población que accede a servicios de atención interhospitalario y traslado sanitario</w:t>
            </w:r>
          </w:p>
        </w:tc>
        <w:tc>
          <w:tcPr>
            <w:tcW w:w="1305" w:type="dxa"/>
            <w:tcBorders>
              <w:top w:val="nil"/>
              <w:left w:val="nil"/>
              <w:bottom w:val="single" w:sz="8" w:space="0" w:color="auto"/>
              <w:right w:val="single" w:sz="8" w:space="0" w:color="auto"/>
            </w:tcBorders>
            <w:noWrap/>
            <w:vAlign w:val="center"/>
            <w:hideMark/>
          </w:tcPr>
          <w:p w14:paraId="4B320906"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636,614,049.00</w:t>
            </w:r>
          </w:p>
        </w:tc>
        <w:tc>
          <w:tcPr>
            <w:tcW w:w="0" w:type="auto"/>
            <w:tcBorders>
              <w:top w:val="nil"/>
              <w:left w:val="nil"/>
              <w:bottom w:val="single" w:sz="8" w:space="0" w:color="auto"/>
              <w:right w:val="single" w:sz="8" w:space="0" w:color="auto"/>
            </w:tcBorders>
            <w:noWrap/>
            <w:vAlign w:val="center"/>
            <w:hideMark/>
          </w:tcPr>
          <w:p w14:paraId="5990F7D5" w14:textId="77777777" w:rsidR="00B24E6C" w:rsidRPr="00310D52" w:rsidRDefault="00B24E6C" w:rsidP="00074F31">
            <w:pPr>
              <w:spacing w:after="0" w:line="360" w:lineRule="auto"/>
              <w:jc w:val="right"/>
              <w:rPr>
                <w:rFonts w:eastAsia="Times New Roman"/>
                <w:spacing w:val="0"/>
                <w:sz w:val="20"/>
                <w:szCs w:val="20"/>
                <w:lang w:val="es-DO"/>
              </w:rPr>
            </w:pPr>
            <w:r w:rsidRPr="00310D52">
              <w:rPr>
                <w:rFonts w:eastAsia="Times New Roman"/>
                <w:spacing w:val="0"/>
                <w:sz w:val="20"/>
                <w:szCs w:val="20"/>
                <w:lang w:val="es-DO"/>
              </w:rPr>
              <w:t>550,011,497.79</w:t>
            </w:r>
          </w:p>
        </w:tc>
        <w:tc>
          <w:tcPr>
            <w:tcW w:w="0" w:type="auto"/>
            <w:tcBorders>
              <w:top w:val="nil"/>
              <w:left w:val="nil"/>
              <w:bottom w:val="single" w:sz="8" w:space="0" w:color="auto"/>
              <w:right w:val="single" w:sz="8" w:space="0" w:color="auto"/>
            </w:tcBorders>
            <w:noWrap/>
            <w:vAlign w:val="center"/>
          </w:tcPr>
          <w:p w14:paraId="29807940" w14:textId="18CF9767" w:rsidR="00B24E6C" w:rsidRPr="00310D52" w:rsidRDefault="00F06D9C" w:rsidP="00074F31">
            <w:pPr>
              <w:spacing w:after="0" w:line="360" w:lineRule="auto"/>
              <w:jc w:val="center"/>
              <w:rPr>
                <w:rFonts w:eastAsia="Times New Roman"/>
                <w:spacing w:val="0"/>
                <w:sz w:val="20"/>
                <w:szCs w:val="20"/>
                <w:lang w:val="es-DO"/>
              </w:rPr>
            </w:pPr>
            <w:r>
              <w:rPr>
                <w:rFonts w:eastAsia="Times New Roman"/>
                <w:spacing w:val="0"/>
                <w:sz w:val="20"/>
                <w:szCs w:val="20"/>
                <w:lang w:val="es-DO"/>
              </w:rPr>
              <w:t>1</w:t>
            </w:r>
          </w:p>
        </w:tc>
        <w:tc>
          <w:tcPr>
            <w:tcW w:w="0" w:type="auto"/>
            <w:tcBorders>
              <w:top w:val="nil"/>
              <w:left w:val="nil"/>
              <w:bottom w:val="single" w:sz="8" w:space="0" w:color="auto"/>
              <w:right w:val="single" w:sz="8" w:space="0" w:color="auto"/>
            </w:tcBorders>
            <w:noWrap/>
            <w:vAlign w:val="center"/>
            <w:hideMark/>
          </w:tcPr>
          <w:p w14:paraId="40B8620B" w14:textId="77777777" w:rsidR="00B24E6C" w:rsidRPr="00310D52" w:rsidRDefault="00B24E6C"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86%</w:t>
            </w:r>
          </w:p>
        </w:tc>
        <w:tc>
          <w:tcPr>
            <w:tcW w:w="0" w:type="auto"/>
            <w:tcBorders>
              <w:top w:val="nil"/>
              <w:left w:val="nil"/>
              <w:bottom w:val="single" w:sz="8" w:space="0" w:color="auto"/>
              <w:right w:val="single" w:sz="8" w:space="0" w:color="auto"/>
            </w:tcBorders>
            <w:noWrap/>
            <w:vAlign w:val="center"/>
            <w:hideMark/>
          </w:tcPr>
          <w:p w14:paraId="7C961902" w14:textId="360D95AE" w:rsidR="00B24E6C" w:rsidRPr="00310D52" w:rsidRDefault="00D53BB6" w:rsidP="00074F31">
            <w:pPr>
              <w:spacing w:after="0" w:line="360" w:lineRule="auto"/>
              <w:jc w:val="center"/>
              <w:rPr>
                <w:rFonts w:eastAsia="Times New Roman"/>
                <w:spacing w:val="0"/>
                <w:sz w:val="20"/>
                <w:szCs w:val="20"/>
                <w:lang w:val="es-DO"/>
              </w:rPr>
            </w:pPr>
            <w:r w:rsidRPr="00310D52">
              <w:rPr>
                <w:rFonts w:eastAsia="Times New Roman"/>
                <w:spacing w:val="0"/>
                <w:sz w:val="20"/>
                <w:szCs w:val="20"/>
                <w:lang w:val="es-DO"/>
              </w:rPr>
              <w:t>7.74</w:t>
            </w:r>
            <w:r w:rsidR="00B24E6C" w:rsidRPr="00310D52">
              <w:rPr>
                <w:rFonts w:eastAsia="Times New Roman"/>
                <w:spacing w:val="0"/>
                <w:sz w:val="20"/>
                <w:szCs w:val="20"/>
                <w:lang w:val="es-DO"/>
              </w:rPr>
              <w:t>%</w:t>
            </w:r>
          </w:p>
        </w:tc>
      </w:tr>
      <w:tr w:rsidR="00310D52" w:rsidRPr="00310D52" w14:paraId="42BA748A" w14:textId="77777777" w:rsidTr="00434602">
        <w:trPr>
          <w:trHeight w:val="60"/>
        </w:trPr>
        <w:tc>
          <w:tcPr>
            <w:tcW w:w="2377" w:type="dxa"/>
            <w:gridSpan w:val="2"/>
            <w:tcBorders>
              <w:top w:val="single" w:sz="8" w:space="0" w:color="auto"/>
              <w:left w:val="single" w:sz="8" w:space="0" w:color="auto"/>
              <w:bottom w:val="single" w:sz="8" w:space="0" w:color="auto"/>
              <w:right w:val="single" w:sz="8" w:space="0" w:color="000000"/>
            </w:tcBorders>
            <w:shd w:val="clear" w:color="auto" w:fill="011C50"/>
            <w:noWrap/>
            <w:vAlign w:val="center"/>
            <w:hideMark/>
          </w:tcPr>
          <w:p w14:paraId="3065472D" w14:textId="77777777" w:rsidR="00B24E6C" w:rsidRPr="00D0435C" w:rsidRDefault="00B24E6C" w:rsidP="00074F31">
            <w:pPr>
              <w:spacing w:after="0" w:line="36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Totales</w:t>
            </w:r>
          </w:p>
        </w:tc>
        <w:tc>
          <w:tcPr>
            <w:tcW w:w="1305" w:type="dxa"/>
            <w:tcBorders>
              <w:top w:val="nil"/>
              <w:left w:val="nil"/>
              <w:bottom w:val="single" w:sz="8" w:space="0" w:color="auto"/>
              <w:right w:val="single" w:sz="8" w:space="0" w:color="auto"/>
            </w:tcBorders>
            <w:shd w:val="clear" w:color="auto" w:fill="011C50"/>
            <w:noWrap/>
            <w:vAlign w:val="center"/>
            <w:hideMark/>
          </w:tcPr>
          <w:p w14:paraId="38685A6C" w14:textId="77777777" w:rsidR="00B24E6C" w:rsidRPr="00D0435C" w:rsidRDefault="00B24E6C" w:rsidP="00074F31">
            <w:pPr>
              <w:spacing w:after="0" w:line="36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7,256,831,790.00</w:t>
            </w:r>
          </w:p>
        </w:tc>
        <w:tc>
          <w:tcPr>
            <w:tcW w:w="0" w:type="auto"/>
            <w:tcBorders>
              <w:top w:val="nil"/>
              <w:left w:val="nil"/>
              <w:bottom w:val="single" w:sz="8" w:space="0" w:color="auto"/>
              <w:right w:val="single" w:sz="8" w:space="0" w:color="auto"/>
            </w:tcBorders>
            <w:shd w:val="clear" w:color="auto" w:fill="011C50"/>
            <w:noWrap/>
            <w:vAlign w:val="center"/>
            <w:hideMark/>
          </w:tcPr>
          <w:p w14:paraId="1661A93E" w14:textId="77777777" w:rsidR="00B24E6C" w:rsidRPr="00D0435C" w:rsidRDefault="00B24E6C" w:rsidP="00074F31">
            <w:pPr>
              <w:spacing w:after="0" w:line="36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7,108,560,293.31</w:t>
            </w:r>
          </w:p>
        </w:tc>
        <w:tc>
          <w:tcPr>
            <w:tcW w:w="0" w:type="auto"/>
            <w:tcBorders>
              <w:top w:val="nil"/>
              <w:left w:val="nil"/>
              <w:bottom w:val="single" w:sz="8" w:space="0" w:color="auto"/>
              <w:right w:val="single" w:sz="8" w:space="0" w:color="auto"/>
            </w:tcBorders>
            <w:shd w:val="clear" w:color="auto" w:fill="011C50"/>
            <w:noWrap/>
            <w:vAlign w:val="center"/>
            <w:hideMark/>
          </w:tcPr>
          <w:p w14:paraId="3BA6785B" w14:textId="77777777" w:rsidR="00B24E6C" w:rsidRPr="00D0435C" w:rsidRDefault="00B24E6C" w:rsidP="00074F31">
            <w:pPr>
              <w:spacing w:after="0" w:line="36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 </w:t>
            </w:r>
          </w:p>
        </w:tc>
        <w:tc>
          <w:tcPr>
            <w:tcW w:w="0" w:type="auto"/>
            <w:tcBorders>
              <w:top w:val="nil"/>
              <w:left w:val="nil"/>
              <w:bottom w:val="single" w:sz="8" w:space="0" w:color="auto"/>
              <w:right w:val="single" w:sz="8" w:space="0" w:color="auto"/>
            </w:tcBorders>
            <w:shd w:val="clear" w:color="auto" w:fill="011C50"/>
            <w:noWrap/>
            <w:vAlign w:val="center"/>
            <w:hideMark/>
          </w:tcPr>
          <w:p w14:paraId="7C6403D0" w14:textId="77777777" w:rsidR="00B24E6C" w:rsidRPr="00D0435C" w:rsidRDefault="00B24E6C" w:rsidP="00074F31">
            <w:pPr>
              <w:spacing w:after="0" w:line="360" w:lineRule="auto"/>
              <w:jc w:val="center"/>
              <w:rPr>
                <w:rFonts w:eastAsia="Times New Roman"/>
                <w:b/>
                <w:bCs/>
                <w:color w:val="FFFFFF" w:themeColor="background1"/>
                <w:spacing w:val="0"/>
                <w:sz w:val="20"/>
                <w:szCs w:val="20"/>
                <w:lang w:val="es-DO"/>
              </w:rPr>
            </w:pPr>
            <w:r w:rsidRPr="00D0435C">
              <w:rPr>
                <w:rFonts w:eastAsia="Times New Roman"/>
                <w:b/>
                <w:bCs/>
                <w:color w:val="FFFFFF" w:themeColor="background1"/>
                <w:spacing w:val="0"/>
                <w:sz w:val="20"/>
                <w:szCs w:val="20"/>
                <w:lang w:val="es-DO"/>
              </w:rPr>
              <w:t>98%</w:t>
            </w:r>
          </w:p>
        </w:tc>
        <w:tc>
          <w:tcPr>
            <w:tcW w:w="0" w:type="auto"/>
            <w:tcBorders>
              <w:top w:val="nil"/>
              <w:left w:val="nil"/>
              <w:bottom w:val="single" w:sz="8" w:space="0" w:color="auto"/>
              <w:right w:val="single" w:sz="8" w:space="0" w:color="auto"/>
            </w:tcBorders>
            <w:shd w:val="clear" w:color="auto" w:fill="011C50"/>
            <w:noWrap/>
            <w:vAlign w:val="center"/>
            <w:hideMark/>
          </w:tcPr>
          <w:p w14:paraId="23F32AB7" w14:textId="77777777" w:rsidR="00B24E6C" w:rsidRPr="00D0435C" w:rsidRDefault="00B24E6C" w:rsidP="00074F31">
            <w:pPr>
              <w:spacing w:after="0" w:line="360" w:lineRule="auto"/>
              <w:jc w:val="center"/>
              <w:rPr>
                <w:rFonts w:eastAsia="Times New Roman"/>
                <w:color w:val="FFFFFF" w:themeColor="background1"/>
                <w:spacing w:val="0"/>
                <w:sz w:val="20"/>
                <w:szCs w:val="20"/>
                <w:lang w:val="es-DO"/>
              </w:rPr>
            </w:pPr>
            <w:r w:rsidRPr="00D0435C">
              <w:rPr>
                <w:rFonts w:eastAsia="Times New Roman"/>
                <w:color w:val="FFFFFF" w:themeColor="background1"/>
                <w:spacing w:val="0"/>
                <w:sz w:val="20"/>
                <w:szCs w:val="20"/>
                <w:lang w:val="es-DO"/>
              </w:rPr>
              <w:t> </w:t>
            </w:r>
          </w:p>
        </w:tc>
      </w:tr>
    </w:tbl>
    <w:p w14:paraId="1DA58DC9" w14:textId="77777777" w:rsidR="00434602" w:rsidRPr="00310D52" w:rsidRDefault="00434602" w:rsidP="00074F31">
      <w:pPr>
        <w:spacing w:line="360" w:lineRule="auto"/>
        <w:rPr>
          <w:i/>
          <w:iCs/>
          <w:sz w:val="18"/>
          <w:szCs w:val="18"/>
          <w:lang w:val="es-DO"/>
        </w:rPr>
      </w:pPr>
    </w:p>
    <w:p w14:paraId="51230A12" w14:textId="4A1B8AB8" w:rsidR="00B24E6C" w:rsidRPr="00310D52" w:rsidRDefault="00B24E6C" w:rsidP="00074F31">
      <w:pPr>
        <w:spacing w:line="360" w:lineRule="auto"/>
        <w:rPr>
          <w:i/>
          <w:iCs/>
          <w:sz w:val="18"/>
          <w:szCs w:val="18"/>
          <w:lang w:val="es-DO"/>
        </w:rPr>
      </w:pPr>
      <w:r w:rsidRPr="00310D52">
        <w:rPr>
          <w:i/>
          <w:iCs/>
          <w:sz w:val="18"/>
          <w:szCs w:val="18"/>
          <w:lang w:val="es-DO"/>
        </w:rPr>
        <w:t>Fuente: SIGEF</w:t>
      </w:r>
    </w:p>
    <w:p w14:paraId="1CF19F5E" w14:textId="77777777" w:rsidR="00B24E6C" w:rsidRPr="00310D52" w:rsidRDefault="00B24E6C" w:rsidP="00B24E6C">
      <w:pPr>
        <w:rPr>
          <w:sz w:val="18"/>
          <w:szCs w:val="18"/>
          <w:lang w:val="es-DO"/>
        </w:rPr>
      </w:pPr>
    </w:p>
    <w:p w14:paraId="041B4E7C" w14:textId="77777777" w:rsidR="00B24E6C" w:rsidRPr="00310D52" w:rsidRDefault="00B24E6C" w:rsidP="00B24E6C">
      <w:pPr>
        <w:rPr>
          <w:sz w:val="18"/>
          <w:szCs w:val="18"/>
          <w:lang w:val="es-DO"/>
        </w:rPr>
      </w:pPr>
    </w:p>
    <w:p w14:paraId="0E06EB5F" w14:textId="77777777" w:rsidR="00B224A9" w:rsidRPr="00310D52" w:rsidRDefault="00B224A9" w:rsidP="00B24E6C">
      <w:pPr>
        <w:rPr>
          <w:sz w:val="18"/>
          <w:szCs w:val="18"/>
          <w:lang w:val="es-DO"/>
        </w:rPr>
      </w:pPr>
    </w:p>
    <w:p w14:paraId="6737FF05" w14:textId="77777777" w:rsidR="00B224A9" w:rsidRPr="00310D52" w:rsidRDefault="00B224A9" w:rsidP="00B24E6C">
      <w:pPr>
        <w:rPr>
          <w:sz w:val="18"/>
          <w:szCs w:val="18"/>
          <w:lang w:val="es-DO"/>
        </w:rPr>
      </w:pPr>
    </w:p>
    <w:p w14:paraId="0F694112" w14:textId="2F6DFA8D" w:rsidR="00B24E6C" w:rsidRPr="00F06D9C" w:rsidRDefault="00B24E6C" w:rsidP="00B24E6C">
      <w:pPr>
        <w:pStyle w:val="Prrafodelista"/>
        <w:numPr>
          <w:ilvl w:val="0"/>
          <w:numId w:val="30"/>
        </w:numPr>
        <w:ind w:left="450"/>
        <w:rPr>
          <w:b/>
          <w:bCs/>
          <w:lang w:val="es-DO"/>
        </w:rPr>
      </w:pPr>
      <w:r w:rsidRPr="00F06D9C">
        <w:rPr>
          <w:b/>
          <w:bCs/>
          <w:lang w:val="es-DO"/>
        </w:rPr>
        <w:lastRenderedPageBreak/>
        <w:t>Matriz de Principales Indicadores del POA.</w:t>
      </w:r>
    </w:p>
    <w:p w14:paraId="3A1869A4" w14:textId="77777777" w:rsidR="00B224A9" w:rsidRPr="00310D52" w:rsidRDefault="00B224A9" w:rsidP="00B224A9">
      <w:pPr>
        <w:pStyle w:val="Prrafodelista"/>
        <w:ind w:left="450"/>
        <w:rPr>
          <w:b/>
          <w:bCs/>
          <w:sz w:val="28"/>
          <w:szCs w:val="28"/>
          <w:lang w:val="es-DO"/>
        </w:rPr>
      </w:pPr>
    </w:p>
    <w:tbl>
      <w:tblPr>
        <w:tblW w:w="0" w:type="auto"/>
        <w:tblLayout w:type="fixed"/>
        <w:tblLook w:val="04A0" w:firstRow="1" w:lastRow="0" w:firstColumn="1" w:lastColumn="0" w:noHBand="0" w:noVBand="1"/>
      </w:tblPr>
      <w:tblGrid>
        <w:gridCol w:w="448"/>
        <w:gridCol w:w="627"/>
        <w:gridCol w:w="1440"/>
        <w:gridCol w:w="1890"/>
        <w:gridCol w:w="720"/>
        <w:gridCol w:w="720"/>
        <w:gridCol w:w="630"/>
        <w:gridCol w:w="630"/>
        <w:gridCol w:w="805"/>
      </w:tblGrid>
      <w:tr w:rsidR="00310D52" w:rsidRPr="00310D52" w14:paraId="56F82C88" w14:textId="77777777" w:rsidTr="00275786">
        <w:trPr>
          <w:trHeight w:val="70"/>
        </w:trPr>
        <w:tc>
          <w:tcPr>
            <w:tcW w:w="448" w:type="dxa"/>
            <w:tcBorders>
              <w:top w:val="single" w:sz="4" w:space="0" w:color="auto"/>
              <w:left w:val="single" w:sz="4" w:space="0" w:color="auto"/>
              <w:bottom w:val="single" w:sz="4" w:space="0" w:color="auto"/>
              <w:right w:val="single" w:sz="4" w:space="0" w:color="auto"/>
            </w:tcBorders>
            <w:shd w:val="clear" w:color="000000" w:fill="002060"/>
            <w:vAlign w:val="center"/>
            <w:hideMark/>
          </w:tcPr>
          <w:p w14:paraId="2BCF0AB6" w14:textId="002D752C"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No</w:t>
            </w:r>
            <w:r w:rsidR="00074F31" w:rsidRPr="00D0435C">
              <w:rPr>
                <w:rFonts w:eastAsia="Times New Roman"/>
                <w:b/>
                <w:bCs/>
                <w:color w:val="FFFFFF" w:themeColor="background1"/>
                <w:spacing w:val="0"/>
                <w:sz w:val="18"/>
                <w:szCs w:val="18"/>
                <w:lang w:val="es-DO"/>
              </w:rPr>
              <w:t>.</w:t>
            </w:r>
          </w:p>
        </w:tc>
        <w:tc>
          <w:tcPr>
            <w:tcW w:w="627" w:type="dxa"/>
            <w:tcBorders>
              <w:top w:val="single" w:sz="4" w:space="0" w:color="auto"/>
              <w:left w:val="nil"/>
              <w:bottom w:val="single" w:sz="4" w:space="0" w:color="auto"/>
              <w:right w:val="single" w:sz="4" w:space="0" w:color="auto"/>
            </w:tcBorders>
            <w:shd w:val="clear" w:color="000000" w:fill="002060"/>
            <w:vAlign w:val="center"/>
            <w:hideMark/>
          </w:tcPr>
          <w:p w14:paraId="40DAB2AC"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Área</w:t>
            </w:r>
          </w:p>
        </w:tc>
        <w:tc>
          <w:tcPr>
            <w:tcW w:w="1440" w:type="dxa"/>
            <w:tcBorders>
              <w:top w:val="single" w:sz="4" w:space="0" w:color="auto"/>
              <w:left w:val="nil"/>
              <w:bottom w:val="single" w:sz="4" w:space="0" w:color="auto"/>
              <w:right w:val="single" w:sz="4" w:space="0" w:color="auto"/>
            </w:tcBorders>
            <w:shd w:val="clear" w:color="000000" w:fill="002060"/>
            <w:vAlign w:val="center"/>
            <w:hideMark/>
          </w:tcPr>
          <w:p w14:paraId="2105400F"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Producto</w:t>
            </w:r>
          </w:p>
        </w:tc>
        <w:tc>
          <w:tcPr>
            <w:tcW w:w="1890" w:type="dxa"/>
            <w:tcBorders>
              <w:top w:val="single" w:sz="4" w:space="0" w:color="auto"/>
              <w:left w:val="nil"/>
              <w:bottom w:val="nil"/>
              <w:right w:val="single" w:sz="4" w:space="0" w:color="auto"/>
            </w:tcBorders>
            <w:shd w:val="clear" w:color="000000" w:fill="002060"/>
            <w:vAlign w:val="center"/>
            <w:hideMark/>
          </w:tcPr>
          <w:p w14:paraId="6177558A"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Nombre del Indicador</w:t>
            </w:r>
          </w:p>
        </w:tc>
        <w:tc>
          <w:tcPr>
            <w:tcW w:w="720" w:type="dxa"/>
            <w:tcBorders>
              <w:top w:val="single" w:sz="4" w:space="0" w:color="auto"/>
              <w:left w:val="nil"/>
              <w:bottom w:val="single" w:sz="4" w:space="0" w:color="auto"/>
              <w:right w:val="single" w:sz="4" w:space="0" w:color="auto"/>
            </w:tcBorders>
            <w:shd w:val="clear" w:color="000000" w:fill="002060"/>
            <w:vAlign w:val="center"/>
            <w:hideMark/>
          </w:tcPr>
          <w:p w14:paraId="3A198406"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Frecuencia</w:t>
            </w:r>
          </w:p>
        </w:tc>
        <w:tc>
          <w:tcPr>
            <w:tcW w:w="720" w:type="dxa"/>
            <w:tcBorders>
              <w:top w:val="single" w:sz="4" w:space="0" w:color="auto"/>
              <w:left w:val="nil"/>
              <w:bottom w:val="single" w:sz="4" w:space="0" w:color="auto"/>
              <w:right w:val="single" w:sz="4" w:space="0" w:color="auto"/>
            </w:tcBorders>
            <w:shd w:val="clear" w:color="000000" w:fill="002060"/>
            <w:vAlign w:val="center"/>
            <w:hideMark/>
          </w:tcPr>
          <w:p w14:paraId="7FEA9B70"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Línea Base</w:t>
            </w:r>
          </w:p>
        </w:tc>
        <w:tc>
          <w:tcPr>
            <w:tcW w:w="630" w:type="dxa"/>
            <w:tcBorders>
              <w:top w:val="single" w:sz="4" w:space="0" w:color="auto"/>
              <w:left w:val="nil"/>
              <w:bottom w:val="single" w:sz="4" w:space="0" w:color="auto"/>
              <w:right w:val="single" w:sz="4" w:space="0" w:color="auto"/>
            </w:tcBorders>
            <w:shd w:val="clear" w:color="000000" w:fill="002060"/>
            <w:vAlign w:val="center"/>
            <w:hideMark/>
          </w:tcPr>
          <w:p w14:paraId="665A1FE8"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Meta</w:t>
            </w:r>
          </w:p>
        </w:tc>
        <w:tc>
          <w:tcPr>
            <w:tcW w:w="630" w:type="dxa"/>
            <w:tcBorders>
              <w:top w:val="single" w:sz="4" w:space="0" w:color="auto"/>
              <w:left w:val="nil"/>
              <w:bottom w:val="single" w:sz="4" w:space="0" w:color="auto"/>
              <w:right w:val="single" w:sz="4" w:space="0" w:color="auto"/>
            </w:tcBorders>
            <w:shd w:val="clear" w:color="000000" w:fill="002060"/>
            <w:vAlign w:val="center"/>
            <w:hideMark/>
          </w:tcPr>
          <w:p w14:paraId="2A86E9D0"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Resultado</w:t>
            </w:r>
          </w:p>
        </w:tc>
        <w:tc>
          <w:tcPr>
            <w:tcW w:w="805" w:type="dxa"/>
            <w:tcBorders>
              <w:top w:val="single" w:sz="4" w:space="0" w:color="auto"/>
              <w:left w:val="nil"/>
              <w:bottom w:val="single" w:sz="4" w:space="0" w:color="auto"/>
              <w:right w:val="single" w:sz="4" w:space="0" w:color="auto"/>
            </w:tcBorders>
            <w:shd w:val="clear" w:color="000000" w:fill="002060"/>
            <w:vAlign w:val="center"/>
            <w:hideMark/>
          </w:tcPr>
          <w:p w14:paraId="14C4A4EF" w14:textId="77777777" w:rsidR="000E1E4E" w:rsidRPr="00D0435C" w:rsidRDefault="000E1E4E" w:rsidP="00756335">
            <w:pPr>
              <w:spacing w:after="0" w:line="360" w:lineRule="auto"/>
              <w:jc w:val="center"/>
              <w:rPr>
                <w:rFonts w:eastAsia="Times New Roman"/>
                <w:b/>
                <w:bCs/>
                <w:color w:val="FFFFFF" w:themeColor="background1"/>
                <w:spacing w:val="0"/>
                <w:sz w:val="18"/>
                <w:szCs w:val="18"/>
                <w:lang w:val="es-DO"/>
              </w:rPr>
            </w:pPr>
            <w:r w:rsidRPr="00D0435C">
              <w:rPr>
                <w:rFonts w:eastAsia="Times New Roman"/>
                <w:b/>
                <w:bCs/>
                <w:color w:val="FFFFFF" w:themeColor="background1"/>
                <w:spacing w:val="0"/>
                <w:sz w:val="18"/>
                <w:szCs w:val="18"/>
                <w:lang w:val="es-DO"/>
              </w:rPr>
              <w:t>Porcentaje de Avance</w:t>
            </w:r>
          </w:p>
        </w:tc>
      </w:tr>
      <w:tr w:rsidR="00310D52" w:rsidRPr="00310D52" w14:paraId="225CA6BE" w14:textId="77777777" w:rsidTr="00756335">
        <w:trPr>
          <w:trHeight w:val="188"/>
        </w:trPr>
        <w:tc>
          <w:tcPr>
            <w:tcW w:w="448" w:type="dxa"/>
            <w:tcBorders>
              <w:top w:val="nil"/>
              <w:left w:val="single" w:sz="4" w:space="0" w:color="auto"/>
              <w:bottom w:val="single" w:sz="4" w:space="0" w:color="auto"/>
              <w:right w:val="single" w:sz="4" w:space="0" w:color="auto"/>
            </w:tcBorders>
            <w:noWrap/>
            <w:vAlign w:val="center"/>
            <w:hideMark/>
          </w:tcPr>
          <w:p w14:paraId="09D130B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1</w:t>
            </w:r>
          </w:p>
        </w:tc>
        <w:tc>
          <w:tcPr>
            <w:tcW w:w="627" w:type="dxa"/>
            <w:tcBorders>
              <w:top w:val="nil"/>
              <w:left w:val="nil"/>
              <w:bottom w:val="single" w:sz="4" w:space="0" w:color="auto"/>
              <w:right w:val="single" w:sz="4" w:space="0" w:color="auto"/>
            </w:tcBorders>
            <w:vAlign w:val="center"/>
            <w:hideMark/>
          </w:tcPr>
          <w:p w14:paraId="394728D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DGE</w:t>
            </w:r>
          </w:p>
        </w:tc>
        <w:tc>
          <w:tcPr>
            <w:tcW w:w="1440" w:type="dxa"/>
            <w:tcBorders>
              <w:top w:val="nil"/>
              <w:left w:val="nil"/>
              <w:bottom w:val="single" w:sz="4" w:space="0" w:color="auto"/>
              <w:right w:val="single" w:sz="4" w:space="0" w:color="auto"/>
            </w:tcBorders>
            <w:noWrap/>
            <w:vAlign w:val="center"/>
            <w:hideMark/>
          </w:tcPr>
          <w:p w14:paraId="79F573D9"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Servicios de Atención Prehospitalaria</w:t>
            </w:r>
          </w:p>
        </w:tc>
        <w:tc>
          <w:tcPr>
            <w:tcW w:w="1890" w:type="dxa"/>
            <w:tcBorders>
              <w:top w:val="single" w:sz="4" w:space="0" w:color="auto"/>
              <w:left w:val="nil"/>
              <w:bottom w:val="single" w:sz="4" w:space="0" w:color="auto"/>
              <w:right w:val="single" w:sz="4" w:space="0" w:color="auto"/>
            </w:tcBorders>
            <w:noWrap/>
            <w:vAlign w:val="center"/>
            <w:hideMark/>
          </w:tcPr>
          <w:p w14:paraId="586A463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Atenciones Prehospitalarias</w:t>
            </w:r>
          </w:p>
        </w:tc>
        <w:tc>
          <w:tcPr>
            <w:tcW w:w="720" w:type="dxa"/>
            <w:tcBorders>
              <w:top w:val="nil"/>
              <w:left w:val="nil"/>
              <w:bottom w:val="single" w:sz="4" w:space="0" w:color="auto"/>
              <w:right w:val="single" w:sz="4" w:space="0" w:color="auto"/>
            </w:tcBorders>
            <w:noWrap/>
            <w:vAlign w:val="center"/>
            <w:hideMark/>
          </w:tcPr>
          <w:p w14:paraId="0013911C"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Trimestral</w:t>
            </w:r>
          </w:p>
        </w:tc>
        <w:tc>
          <w:tcPr>
            <w:tcW w:w="720" w:type="dxa"/>
            <w:tcBorders>
              <w:top w:val="nil"/>
              <w:left w:val="nil"/>
              <w:bottom w:val="single" w:sz="4" w:space="0" w:color="auto"/>
              <w:right w:val="single" w:sz="4" w:space="0" w:color="auto"/>
            </w:tcBorders>
            <w:noWrap/>
            <w:vAlign w:val="center"/>
            <w:hideMark/>
          </w:tcPr>
          <w:p w14:paraId="09B28158"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540,637</w:t>
            </w:r>
          </w:p>
        </w:tc>
        <w:tc>
          <w:tcPr>
            <w:tcW w:w="630" w:type="dxa"/>
            <w:tcBorders>
              <w:top w:val="nil"/>
              <w:left w:val="nil"/>
              <w:bottom w:val="single" w:sz="4" w:space="0" w:color="auto"/>
              <w:right w:val="single" w:sz="4" w:space="0" w:color="auto"/>
            </w:tcBorders>
            <w:noWrap/>
            <w:vAlign w:val="center"/>
            <w:hideMark/>
          </w:tcPr>
          <w:p w14:paraId="2018B9D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605,513</w:t>
            </w:r>
          </w:p>
        </w:tc>
        <w:tc>
          <w:tcPr>
            <w:tcW w:w="630" w:type="dxa"/>
            <w:tcBorders>
              <w:top w:val="nil"/>
              <w:left w:val="nil"/>
              <w:bottom w:val="single" w:sz="4" w:space="0" w:color="auto"/>
              <w:right w:val="single" w:sz="4" w:space="0" w:color="auto"/>
            </w:tcBorders>
            <w:vAlign w:val="center"/>
            <w:hideMark/>
          </w:tcPr>
          <w:p w14:paraId="6F9EC01F"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547,936</w:t>
            </w:r>
          </w:p>
        </w:tc>
        <w:tc>
          <w:tcPr>
            <w:tcW w:w="805" w:type="dxa"/>
            <w:tcBorders>
              <w:top w:val="nil"/>
              <w:left w:val="nil"/>
              <w:bottom w:val="single" w:sz="4" w:space="0" w:color="auto"/>
              <w:right w:val="single" w:sz="4" w:space="0" w:color="auto"/>
            </w:tcBorders>
            <w:vAlign w:val="center"/>
            <w:hideMark/>
          </w:tcPr>
          <w:p w14:paraId="383D4A6A"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90%</w:t>
            </w:r>
          </w:p>
        </w:tc>
      </w:tr>
      <w:tr w:rsidR="00310D52" w:rsidRPr="00310D52" w14:paraId="71A3EBEF" w14:textId="77777777" w:rsidTr="00275786">
        <w:trPr>
          <w:trHeight w:val="70"/>
        </w:trPr>
        <w:tc>
          <w:tcPr>
            <w:tcW w:w="448" w:type="dxa"/>
            <w:tcBorders>
              <w:top w:val="nil"/>
              <w:left w:val="single" w:sz="4" w:space="0" w:color="auto"/>
              <w:bottom w:val="single" w:sz="4" w:space="0" w:color="auto"/>
              <w:right w:val="single" w:sz="4" w:space="0" w:color="auto"/>
            </w:tcBorders>
            <w:noWrap/>
            <w:vAlign w:val="center"/>
            <w:hideMark/>
          </w:tcPr>
          <w:p w14:paraId="57757F85"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2</w:t>
            </w:r>
          </w:p>
        </w:tc>
        <w:tc>
          <w:tcPr>
            <w:tcW w:w="627" w:type="dxa"/>
            <w:tcBorders>
              <w:top w:val="nil"/>
              <w:left w:val="nil"/>
              <w:bottom w:val="single" w:sz="4" w:space="0" w:color="auto"/>
              <w:right w:val="single" w:sz="4" w:space="0" w:color="auto"/>
            </w:tcBorders>
            <w:vAlign w:val="center"/>
            <w:hideMark/>
          </w:tcPr>
          <w:p w14:paraId="51A9E98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DGE</w:t>
            </w:r>
          </w:p>
        </w:tc>
        <w:tc>
          <w:tcPr>
            <w:tcW w:w="1440" w:type="dxa"/>
            <w:tcBorders>
              <w:top w:val="nil"/>
              <w:left w:val="nil"/>
              <w:bottom w:val="single" w:sz="4" w:space="0" w:color="auto"/>
              <w:right w:val="single" w:sz="4" w:space="0" w:color="auto"/>
            </w:tcBorders>
            <w:noWrap/>
            <w:vAlign w:val="center"/>
            <w:hideMark/>
          </w:tcPr>
          <w:p w14:paraId="7E6FF20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Servicios de Atención Interhospitalaria</w:t>
            </w:r>
          </w:p>
        </w:tc>
        <w:tc>
          <w:tcPr>
            <w:tcW w:w="1890" w:type="dxa"/>
            <w:tcBorders>
              <w:top w:val="nil"/>
              <w:left w:val="nil"/>
              <w:bottom w:val="single" w:sz="4" w:space="0" w:color="auto"/>
              <w:right w:val="single" w:sz="4" w:space="0" w:color="auto"/>
            </w:tcBorders>
            <w:noWrap/>
            <w:vAlign w:val="center"/>
            <w:hideMark/>
          </w:tcPr>
          <w:p w14:paraId="27A59DB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Traslados Sanitarios</w:t>
            </w:r>
          </w:p>
        </w:tc>
        <w:tc>
          <w:tcPr>
            <w:tcW w:w="720" w:type="dxa"/>
            <w:tcBorders>
              <w:top w:val="nil"/>
              <w:left w:val="nil"/>
              <w:bottom w:val="single" w:sz="4" w:space="0" w:color="auto"/>
              <w:right w:val="single" w:sz="4" w:space="0" w:color="auto"/>
            </w:tcBorders>
            <w:noWrap/>
            <w:vAlign w:val="center"/>
            <w:hideMark/>
          </w:tcPr>
          <w:p w14:paraId="179F2F0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Trimestral</w:t>
            </w:r>
          </w:p>
        </w:tc>
        <w:tc>
          <w:tcPr>
            <w:tcW w:w="720" w:type="dxa"/>
            <w:tcBorders>
              <w:top w:val="nil"/>
              <w:left w:val="nil"/>
              <w:bottom w:val="single" w:sz="4" w:space="0" w:color="auto"/>
              <w:right w:val="single" w:sz="4" w:space="0" w:color="auto"/>
            </w:tcBorders>
            <w:noWrap/>
            <w:vAlign w:val="center"/>
            <w:hideMark/>
          </w:tcPr>
          <w:p w14:paraId="50DAC01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36,862</w:t>
            </w:r>
          </w:p>
        </w:tc>
        <w:tc>
          <w:tcPr>
            <w:tcW w:w="630" w:type="dxa"/>
            <w:tcBorders>
              <w:top w:val="nil"/>
              <w:left w:val="nil"/>
              <w:bottom w:val="single" w:sz="4" w:space="0" w:color="auto"/>
              <w:right w:val="single" w:sz="4" w:space="0" w:color="auto"/>
            </w:tcBorders>
            <w:noWrap/>
            <w:vAlign w:val="center"/>
            <w:hideMark/>
          </w:tcPr>
          <w:p w14:paraId="7308B2F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55,293</w:t>
            </w:r>
          </w:p>
        </w:tc>
        <w:tc>
          <w:tcPr>
            <w:tcW w:w="630" w:type="dxa"/>
            <w:tcBorders>
              <w:top w:val="nil"/>
              <w:left w:val="nil"/>
              <w:bottom w:val="single" w:sz="4" w:space="0" w:color="auto"/>
              <w:right w:val="single" w:sz="4" w:space="0" w:color="auto"/>
            </w:tcBorders>
            <w:vAlign w:val="center"/>
            <w:hideMark/>
          </w:tcPr>
          <w:p w14:paraId="2FC74BF5"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65,286</w:t>
            </w:r>
          </w:p>
        </w:tc>
        <w:tc>
          <w:tcPr>
            <w:tcW w:w="805" w:type="dxa"/>
            <w:tcBorders>
              <w:top w:val="nil"/>
              <w:left w:val="nil"/>
              <w:bottom w:val="single" w:sz="4" w:space="0" w:color="auto"/>
              <w:right w:val="single" w:sz="4" w:space="0" w:color="auto"/>
            </w:tcBorders>
            <w:vAlign w:val="center"/>
            <w:hideMark/>
          </w:tcPr>
          <w:p w14:paraId="0BB9CAC0"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118%</w:t>
            </w:r>
          </w:p>
        </w:tc>
      </w:tr>
      <w:tr w:rsidR="00310D52" w:rsidRPr="00310D52" w14:paraId="6DB96087" w14:textId="77777777" w:rsidTr="00756335">
        <w:trPr>
          <w:trHeight w:val="1592"/>
        </w:trPr>
        <w:tc>
          <w:tcPr>
            <w:tcW w:w="448" w:type="dxa"/>
            <w:tcBorders>
              <w:top w:val="nil"/>
              <w:left w:val="single" w:sz="4" w:space="0" w:color="auto"/>
              <w:bottom w:val="single" w:sz="4" w:space="0" w:color="auto"/>
              <w:right w:val="single" w:sz="4" w:space="0" w:color="auto"/>
            </w:tcBorders>
            <w:noWrap/>
            <w:vAlign w:val="center"/>
            <w:hideMark/>
          </w:tcPr>
          <w:p w14:paraId="389F14E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3</w:t>
            </w:r>
          </w:p>
        </w:tc>
        <w:tc>
          <w:tcPr>
            <w:tcW w:w="627" w:type="dxa"/>
            <w:tcBorders>
              <w:top w:val="nil"/>
              <w:left w:val="nil"/>
              <w:bottom w:val="single" w:sz="4" w:space="0" w:color="auto"/>
              <w:right w:val="single" w:sz="4" w:space="0" w:color="auto"/>
            </w:tcBorders>
            <w:vAlign w:val="center"/>
            <w:hideMark/>
          </w:tcPr>
          <w:p w14:paraId="49F1BD1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DGE</w:t>
            </w:r>
          </w:p>
        </w:tc>
        <w:tc>
          <w:tcPr>
            <w:tcW w:w="1440" w:type="dxa"/>
            <w:tcBorders>
              <w:top w:val="nil"/>
              <w:left w:val="nil"/>
              <w:bottom w:val="single" w:sz="4" w:space="0" w:color="auto"/>
              <w:right w:val="single" w:sz="4" w:space="0" w:color="auto"/>
            </w:tcBorders>
            <w:noWrap/>
            <w:vAlign w:val="center"/>
            <w:hideMark/>
          </w:tcPr>
          <w:p w14:paraId="59F090D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Lesionados en Accidentes de tránsito reciben servicio de atención prehospitalaria</w:t>
            </w:r>
          </w:p>
        </w:tc>
        <w:tc>
          <w:tcPr>
            <w:tcW w:w="1890" w:type="dxa"/>
            <w:tcBorders>
              <w:top w:val="nil"/>
              <w:left w:val="nil"/>
              <w:bottom w:val="single" w:sz="4" w:space="0" w:color="auto"/>
              <w:right w:val="single" w:sz="4" w:space="0" w:color="auto"/>
            </w:tcBorders>
            <w:noWrap/>
            <w:vAlign w:val="center"/>
            <w:hideMark/>
          </w:tcPr>
          <w:p w14:paraId="7CF0A439"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Cantidad de pacientes atendidos en las unidades de emergencias con lesiones por accidentes de tránsito en las regiones priorizadas.</w:t>
            </w:r>
          </w:p>
        </w:tc>
        <w:tc>
          <w:tcPr>
            <w:tcW w:w="720" w:type="dxa"/>
            <w:tcBorders>
              <w:top w:val="nil"/>
              <w:left w:val="nil"/>
              <w:bottom w:val="single" w:sz="4" w:space="0" w:color="auto"/>
              <w:right w:val="single" w:sz="4" w:space="0" w:color="auto"/>
            </w:tcBorders>
            <w:noWrap/>
            <w:vAlign w:val="center"/>
            <w:hideMark/>
          </w:tcPr>
          <w:p w14:paraId="36D91A0A"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Trimestral</w:t>
            </w:r>
          </w:p>
        </w:tc>
        <w:tc>
          <w:tcPr>
            <w:tcW w:w="720" w:type="dxa"/>
            <w:tcBorders>
              <w:top w:val="nil"/>
              <w:left w:val="nil"/>
              <w:bottom w:val="single" w:sz="4" w:space="0" w:color="auto"/>
              <w:right w:val="single" w:sz="4" w:space="0" w:color="auto"/>
            </w:tcBorders>
            <w:noWrap/>
            <w:vAlign w:val="center"/>
            <w:hideMark/>
          </w:tcPr>
          <w:p w14:paraId="41C8CADF"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70,335</w:t>
            </w:r>
          </w:p>
        </w:tc>
        <w:tc>
          <w:tcPr>
            <w:tcW w:w="630" w:type="dxa"/>
            <w:tcBorders>
              <w:top w:val="nil"/>
              <w:left w:val="nil"/>
              <w:bottom w:val="single" w:sz="4" w:space="0" w:color="auto"/>
              <w:right w:val="single" w:sz="4" w:space="0" w:color="auto"/>
            </w:tcBorders>
            <w:noWrap/>
            <w:vAlign w:val="center"/>
            <w:hideMark/>
          </w:tcPr>
          <w:p w14:paraId="4F1BB3AA"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76,362</w:t>
            </w:r>
          </w:p>
        </w:tc>
        <w:tc>
          <w:tcPr>
            <w:tcW w:w="630" w:type="dxa"/>
            <w:tcBorders>
              <w:top w:val="nil"/>
              <w:left w:val="nil"/>
              <w:bottom w:val="single" w:sz="4" w:space="0" w:color="auto"/>
              <w:right w:val="single" w:sz="4" w:space="0" w:color="auto"/>
            </w:tcBorders>
            <w:vAlign w:val="center"/>
            <w:hideMark/>
          </w:tcPr>
          <w:p w14:paraId="74C854C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89,044</w:t>
            </w:r>
          </w:p>
        </w:tc>
        <w:tc>
          <w:tcPr>
            <w:tcW w:w="805" w:type="dxa"/>
            <w:tcBorders>
              <w:top w:val="nil"/>
              <w:left w:val="nil"/>
              <w:bottom w:val="single" w:sz="4" w:space="0" w:color="auto"/>
              <w:right w:val="single" w:sz="4" w:space="0" w:color="auto"/>
            </w:tcBorders>
            <w:vAlign w:val="center"/>
            <w:hideMark/>
          </w:tcPr>
          <w:p w14:paraId="44683B57"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117%</w:t>
            </w:r>
          </w:p>
        </w:tc>
      </w:tr>
      <w:tr w:rsidR="00310D52" w:rsidRPr="00310D52" w14:paraId="0EE3AD29" w14:textId="77777777" w:rsidTr="00756335">
        <w:trPr>
          <w:trHeight w:val="720"/>
        </w:trPr>
        <w:tc>
          <w:tcPr>
            <w:tcW w:w="448" w:type="dxa"/>
            <w:tcBorders>
              <w:top w:val="nil"/>
              <w:left w:val="single" w:sz="4" w:space="0" w:color="auto"/>
              <w:bottom w:val="single" w:sz="4" w:space="0" w:color="auto"/>
              <w:right w:val="single" w:sz="4" w:space="0" w:color="auto"/>
            </w:tcBorders>
            <w:noWrap/>
            <w:vAlign w:val="center"/>
            <w:hideMark/>
          </w:tcPr>
          <w:p w14:paraId="7BB918C5"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4</w:t>
            </w:r>
          </w:p>
        </w:tc>
        <w:tc>
          <w:tcPr>
            <w:tcW w:w="627" w:type="dxa"/>
            <w:tcBorders>
              <w:top w:val="nil"/>
              <w:left w:val="nil"/>
              <w:bottom w:val="single" w:sz="4" w:space="0" w:color="auto"/>
              <w:right w:val="single" w:sz="4" w:space="0" w:color="auto"/>
            </w:tcBorders>
            <w:vAlign w:val="center"/>
            <w:hideMark/>
          </w:tcPr>
          <w:p w14:paraId="06F835F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GRD</w:t>
            </w:r>
          </w:p>
        </w:tc>
        <w:tc>
          <w:tcPr>
            <w:tcW w:w="1440" w:type="dxa"/>
            <w:tcBorders>
              <w:top w:val="nil"/>
              <w:left w:val="nil"/>
              <w:bottom w:val="single" w:sz="4" w:space="0" w:color="auto"/>
              <w:right w:val="single" w:sz="4" w:space="0" w:color="auto"/>
            </w:tcBorders>
            <w:noWrap/>
            <w:vAlign w:val="center"/>
            <w:hideMark/>
          </w:tcPr>
          <w:p w14:paraId="7B3B8DC3"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Programa de capacitación desarrollado</w:t>
            </w:r>
          </w:p>
        </w:tc>
        <w:tc>
          <w:tcPr>
            <w:tcW w:w="1890" w:type="dxa"/>
            <w:tcBorders>
              <w:top w:val="nil"/>
              <w:left w:val="nil"/>
              <w:bottom w:val="single" w:sz="4" w:space="0" w:color="auto"/>
              <w:right w:val="single" w:sz="4" w:space="0" w:color="auto"/>
            </w:tcBorders>
            <w:noWrap/>
            <w:vAlign w:val="center"/>
            <w:hideMark/>
          </w:tcPr>
          <w:p w14:paraId="36BA58C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 xml:space="preserve">Porcentaje de cumplimiento del programa de capacitación </w:t>
            </w:r>
          </w:p>
        </w:tc>
        <w:tc>
          <w:tcPr>
            <w:tcW w:w="720" w:type="dxa"/>
            <w:tcBorders>
              <w:top w:val="nil"/>
              <w:left w:val="nil"/>
              <w:bottom w:val="single" w:sz="4" w:space="0" w:color="auto"/>
              <w:right w:val="single" w:sz="4" w:space="0" w:color="auto"/>
            </w:tcBorders>
            <w:noWrap/>
            <w:vAlign w:val="center"/>
            <w:hideMark/>
          </w:tcPr>
          <w:p w14:paraId="25ED2D6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Semestral</w:t>
            </w:r>
          </w:p>
        </w:tc>
        <w:tc>
          <w:tcPr>
            <w:tcW w:w="720" w:type="dxa"/>
            <w:tcBorders>
              <w:top w:val="nil"/>
              <w:left w:val="nil"/>
              <w:bottom w:val="single" w:sz="4" w:space="0" w:color="auto"/>
              <w:right w:val="single" w:sz="4" w:space="0" w:color="auto"/>
            </w:tcBorders>
            <w:noWrap/>
            <w:vAlign w:val="center"/>
            <w:hideMark/>
          </w:tcPr>
          <w:p w14:paraId="16F3911A"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N/D</w:t>
            </w:r>
          </w:p>
        </w:tc>
        <w:tc>
          <w:tcPr>
            <w:tcW w:w="630" w:type="dxa"/>
            <w:tcBorders>
              <w:top w:val="nil"/>
              <w:left w:val="nil"/>
              <w:bottom w:val="single" w:sz="4" w:space="0" w:color="auto"/>
              <w:right w:val="single" w:sz="4" w:space="0" w:color="auto"/>
            </w:tcBorders>
            <w:noWrap/>
            <w:vAlign w:val="center"/>
            <w:hideMark/>
          </w:tcPr>
          <w:p w14:paraId="19124D44"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100%</w:t>
            </w:r>
          </w:p>
        </w:tc>
        <w:tc>
          <w:tcPr>
            <w:tcW w:w="630" w:type="dxa"/>
            <w:tcBorders>
              <w:top w:val="nil"/>
              <w:left w:val="nil"/>
              <w:bottom w:val="single" w:sz="4" w:space="0" w:color="auto"/>
              <w:right w:val="single" w:sz="4" w:space="0" w:color="auto"/>
            </w:tcBorders>
            <w:vAlign w:val="center"/>
            <w:hideMark/>
          </w:tcPr>
          <w:p w14:paraId="6E2AF3B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100%</w:t>
            </w:r>
          </w:p>
        </w:tc>
        <w:tc>
          <w:tcPr>
            <w:tcW w:w="805" w:type="dxa"/>
            <w:tcBorders>
              <w:top w:val="nil"/>
              <w:left w:val="nil"/>
              <w:bottom w:val="single" w:sz="4" w:space="0" w:color="auto"/>
              <w:right w:val="single" w:sz="4" w:space="0" w:color="auto"/>
            </w:tcBorders>
            <w:vAlign w:val="center"/>
            <w:hideMark/>
          </w:tcPr>
          <w:p w14:paraId="00D53876"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100%</w:t>
            </w:r>
          </w:p>
        </w:tc>
      </w:tr>
      <w:tr w:rsidR="00310D52" w:rsidRPr="00310D52" w14:paraId="0480F330" w14:textId="77777777" w:rsidTr="00756335">
        <w:trPr>
          <w:trHeight w:val="70"/>
        </w:trPr>
        <w:tc>
          <w:tcPr>
            <w:tcW w:w="448" w:type="dxa"/>
            <w:tcBorders>
              <w:top w:val="nil"/>
              <w:left w:val="single" w:sz="4" w:space="0" w:color="auto"/>
              <w:bottom w:val="single" w:sz="4" w:space="0" w:color="auto"/>
              <w:right w:val="single" w:sz="4" w:space="0" w:color="auto"/>
            </w:tcBorders>
            <w:noWrap/>
            <w:vAlign w:val="center"/>
            <w:hideMark/>
          </w:tcPr>
          <w:p w14:paraId="4F76AA6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5</w:t>
            </w:r>
          </w:p>
        </w:tc>
        <w:tc>
          <w:tcPr>
            <w:tcW w:w="627" w:type="dxa"/>
            <w:vMerge w:val="restart"/>
            <w:tcBorders>
              <w:top w:val="nil"/>
              <w:left w:val="single" w:sz="4" w:space="0" w:color="auto"/>
              <w:bottom w:val="single" w:sz="4" w:space="0" w:color="auto"/>
              <w:right w:val="single" w:sz="4" w:space="0" w:color="auto"/>
            </w:tcBorders>
            <w:vAlign w:val="center"/>
            <w:hideMark/>
          </w:tcPr>
          <w:p w14:paraId="167412B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GRD</w:t>
            </w:r>
          </w:p>
        </w:tc>
        <w:tc>
          <w:tcPr>
            <w:tcW w:w="1440" w:type="dxa"/>
            <w:vMerge w:val="restart"/>
            <w:tcBorders>
              <w:top w:val="nil"/>
              <w:left w:val="single" w:sz="4" w:space="0" w:color="auto"/>
              <w:bottom w:val="single" w:sz="4" w:space="0" w:color="auto"/>
              <w:right w:val="single" w:sz="4" w:space="0" w:color="auto"/>
            </w:tcBorders>
            <w:noWrap/>
            <w:vAlign w:val="center"/>
            <w:hideMark/>
          </w:tcPr>
          <w:p w14:paraId="7DFEB7D1"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Preparación y Respuesta a Emergencias de Salud Pública y Desastres coordinadas</w:t>
            </w:r>
          </w:p>
        </w:tc>
        <w:tc>
          <w:tcPr>
            <w:tcW w:w="1890" w:type="dxa"/>
            <w:tcBorders>
              <w:top w:val="nil"/>
              <w:left w:val="nil"/>
              <w:bottom w:val="single" w:sz="4" w:space="0" w:color="auto"/>
              <w:right w:val="single" w:sz="4" w:space="0" w:color="auto"/>
            </w:tcBorders>
            <w:noWrap/>
            <w:vAlign w:val="center"/>
            <w:hideMark/>
          </w:tcPr>
          <w:p w14:paraId="2FDEB5C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Planes de respuesta ante Emergencias de Salud Pública y Desastres Naturales elaborados.</w:t>
            </w:r>
          </w:p>
        </w:tc>
        <w:tc>
          <w:tcPr>
            <w:tcW w:w="720" w:type="dxa"/>
            <w:tcBorders>
              <w:top w:val="nil"/>
              <w:left w:val="nil"/>
              <w:bottom w:val="single" w:sz="4" w:space="0" w:color="auto"/>
              <w:right w:val="single" w:sz="4" w:space="0" w:color="auto"/>
            </w:tcBorders>
            <w:noWrap/>
            <w:vAlign w:val="center"/>
            <w:hideMark/>
          </w:tcPr>
          <w:p w14:paraId="0DEF651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Semestral</w:t>
            </w:r>
          </w:p>
        </w:tc>
        <w:tc>
          <w:tcPr>
            <w:tcW w:w="720" w:type="dxa"/>
            <w:tcBorders>
              <w:top w:val="nil"/>
              <w:left w:val="nil"/>
              <w:bottom w:val="single" w:sz="4" w:space="0" w:color="auto"/>
              <w:right w:val="single" w:sz="4" w:space="0" w:color="auto"/>
            </w:tcBorders>
            <w:noWrap/>
            <w:vAlign w:val="center"/>
            <w:hideMark/>
          </w:tcPr>
          <w:p w14:paraId="3405CAC5"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0</w:t>
            </w:r>
          </w:p>
        </w:tc>
        <w:tc>
          <w:tcPr>
            <w:tcW w:w="630" w:type="dxa"/>
            <w:tcBorders>
              <w:top w:val="nil"/>
              <w:left w:val="nil"/>
              <w:bottom w:val="single" w:sz="4" w:space="0" w:color="auto"/>
              <w:right w:val="single" w:sz="4" w:space="0" w:color="auto"/>
            </w:tcBorders>
            <w:noWrap/>
            <w:vAlign w:val="center"/>
            <w:hideMark/>
          </w:tcPr>
          <w:p w14:paraId="5D40AFDF"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3</w:t>
            </w:r>
          </w:p>
        </w:tc>
        <w:tc>
          <w:tcPr>
            <w:tcW w:w="630" w:type="dxa"/>
            <w:tcBorders>
              <w:top w:val="nil"/>
              <w:left w:val="nil"/>
              <w:bottom w:val="single" w:sz="4" w:space="0" w:color="auto"/>
              <w:right w:val="single" w:sz="4" w:space="0" w:color="auto"/>
            </w:tcBorders>
            <w:vAlign w:val="center"/>
            <w:hideMark/>
          </w:tcPr>
          <w:p w14:paraId="15A7E2B8"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7</w:t>
            </w:r>
          </w:p>
        </w:tc>
        <w:tc>
          <w:tcPr>
            <w:tcW w:w="805" w:type="dxa"/>
            <w:tcBorders>
              <w:top w:val="nil"/>
              <w:left w:val="nil"/>
              <w:bottom w:val="single" w:sz="4" w:space="0" w:color="auto"/>
              <w:right w:val="single" w:sz="4" w:space="0" w:color="auto"/>
            </w:tcBorders>
            <w:vAlign w:val="center"/>
            <w:hideMark/>
          </w:tcPr>
          <w:p w14:paraId="64B1651D"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233%</w:t>
            </w:r>
          </w:p>
        </w:tc>
      </w:tr>
      <w:tr w:rsidR="00310D52" w:rsidRPr="00310D52" w14:paraId="78BEA988" w14:textId="77777777" w:rsidTr="00275786">
        <w:trPr>
          <w:trHeight w:val="70"/>
        </w:trPr>
        <w:tc>
          <w:tcPr>
            <w:tcW w:w="448" w:type="dxa"/>
            <w:tcBorders>
              <w:top w:val="nil"/>
              <w:left w:val="single" w:sz="4" w:space="0" w:color="auto"/>
              <w:bottom w:val="single" w:sz="4" w:space="0" w:color="auto"/>
              <w:right w:val="single" w:sz="4" w:space="0" w:color="auto"/>
            </w:tcBorders>
            <w:noWrap/>
            <w:vAlign w:val="center"/>
            <w:hideMark/>
          </w:tcPr>
          <w:p w14:paraId="61FE304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6</w:t>
            </w:r>
          </w:p>
        </w:tc>
        <w:tc>
          <w:tcPr>
            <w:tcW w:w="627" w:type="dxa"/>
            <w:vMerge/>
            <w:tcBorders>
              <w:top w:val="nil"/>
              <w:left w:val="single" w:sz="4" w:space="0" w:color="auto"/>
              <w:bottom w:val="single" w:sz="4" w:space="0" w:color="auto"/>
              <w:right w:val="single" w:sz="4" w:space="0" w:color="auto"/>
            </w:tcBorders>
            <w:vAlign w:val="center"/>
            <w:hideMark/>
          </w:tcPr>
          <w:p w14:paraId="6F8E3A2D" w14:textId="77777777" w:rsidR="000E1E4E" w:rsidRPr="00310D52" w:rsidRDefault="000E1E4E" w:rsidP="00756335">
            <w:pPr>
              <w:spacing w:after="0" w:line="360" w:lineRule="auto"/>
              <w:jc w:val="both"/>
              <w:rPr>
                <w:rFonts w:eastAsia="Times New Roman"/>
                <w:spacing w:val="0"/>
                <w:sz w:val="18"/>
                <w:szCs w:val="18"/>
                <w:lang w:val="es-DO"/>
              </w:rPr>
            </w:pPr>
          </w:p>
        </w:tc>
        <w:tc>
          <w:tcPr>
            <w:tcW w:w="1440" w:type="dxa"/>
            <w:vMerge/>
            <w:tcBorders>
              <w:top w:val="nil"/>
              <w:left w:val="single" w:sz="4" w:space="0" w:color="auto"/>
              <w:bottom w:val="single" w:sz="4" w:space="0" w:color="auto"/>
              <w:right w:val="single" w:sz="4" w:space="0" w:color="auto"/>
            </w:tcBorders>
            <w:vAlign w:val="center"/>
            <w:hideMark/>
          </w:tcPr>
          <w:p w14:paraId="3E5AC742" w14:textId="77777777" w:rsidR="000E1E4E" w:rsidRPr="00310D52" w:rsidRDefault="000E1E4E" w:rsidP="00756335">
            <w:pPr>
              <w:spacing w:after="0" w:line="360" w:lineRule="auto"/>
              <w:jc w:val="both"/>
              <w:rPr>
                <w:rFonts w:eastAsia="Times New Roman"/>
                <w:spacing w:val="0"/>
                <w:sz w:val="18"/>
                <w:szCs w:val="18"/>
                <w:lang w:val="es-DO"/>
              </w:rPr>
            </w:pPr>
          </w:p>
        </w:tc>
        <w:tc>
          <w:tcPr>
            <w:tcW w:w="1890" w:type="dxa"/>
            <w:tcBorders>
              <w:top w:val="nil"/>
              <w:left w:val="nil"/>
              <w:bottom w:val="single" w:sz="4" w:space="0" w:color="auto"/>
              <w:right w:val="single" w:sz="4" w:space="0" w:color="auto"/>
            </w:tcBorders>
            <w:noWrap/>
            <w:vAlign w:val="center"/>
            <w:hideMark/>
          </w:tcPr>
          <w:p w14:paraId="3B9B130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Número de simulacros realizados</w:t>
            </w:r>
          </w:p>
        </w:tc>
        <w:tc>
          <w:tcPr>
            <w:tcW w:w="720" w:type="dxa"/>
            <w:tcBorders>
              <w:top w:val="nil"/>
              <w:left w:val="nil"/>
              <w:bottom w:val="single" w:sz="4" w:space="0" w:color="auto"/>
              <w:right w:val="single" w:sz="4" w:space="0" w:color="auto"/>
            </w:tcBorders>
            <w:noWrap/>
            <w:vAlign w:val="center"/>
            <w:hideMark/>
          </w:tcPr>
          <w:p w14:paraId="4734FA0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Anual</w:t>
            </w:r>
          </w:p>
        </w:tc>
        <w:tc>
          <w:tcPr>
            <w:tcW w:w="720" w:type="dxa"/>
            <w:tcBorders>
              <w:top w:val="nil"/>
              <w:left w:val="nil"/>
              <w:bottom w:val="single" w:sz="4" w:space="0" w:color="auto"/>
              <w:right w:val="single" w:sz="4" w:space="0" w:color="auto"/>
            </w:tcBorders>
            <w:noWrap/>
            <w:vAlign w:val="center"/>
            <w:hideMark/>
          </w:tcPr>
          <w:p w14:paraId="5668071A"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0</w:t>
            </w:r>
          </w:p>
        </w:tc>
        <w:tc>
          <w:tcPr>
            <w:tcW w:w="630" w:type="dxa"/>
            <w:tcBorders>
              <w:top w:val="nil"/>
              <w:left w:val="nil"/>
              <w:bottom w:val="single" w:sz="4" w:space="0" w:color="auto"/>
              <w:right w:val="single" w:sz="4" w:space="0" w:color="auto"/>
            </w:tcBorders>
            <w:noWrap/>
            <w:vAlign w:val="center"/>
            <w:hideMark/>
          </w:tcPr>
          <w:p w14:paraId="6FE54B41"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1</w:t>
            </w:r>
          </w:p>
        </w:tc>
        <w:tc>
          <w:tcPr>
            <w:tcW w:w="630" w:type="dxa"/>
            <w:tcBorders>
              <w:top w:val="nil"/>
              <w:left w:val="nil"/>
              <w:bottom w:val="single" w:sz="4" w:space="0" w:color="auto"/>
              <w:right w:val="single" w:sz="4" w:space="0" w:color="auto"/>
            </w:tcBorders>
            <w:vAlign w:val="center"/>
            <w:hideMark/>
          </w:tcPr>
          <w:p w14:paraId="4A850283"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1</w:t>
            </w:r>
          </w:p>
        </w:tc>
        <w:tc>
          <w:tcPr>
            <w:tcW w:w="805" w:type="dxa"/>
            <w:tcBorders>
              <w:top w:val="nil"/>
              <w:left w:val="nil"/>
              <w:bottom w:val="single" w:sz="4" w:space="0" w:color="auto"/>
              <w:right w:val="single" w:sz="4" w:space="0" w:color="auto"/>
            </w:tcBorders>
            <w:vAlign w:val="center"/>
            <w:hideMark/>
          </w:tcPr>
          <w:p w14:paraId="6BBE25D7"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100%</w:t>
            </w:r>
          </w:p>
        </w:tc>
      </w:tr>
      <w:tr w:rsidR="00310D52" w:rsidRPr="00310D52" w14:paraId="33234302" w14:textId="77777777" w:rsidTr="00756335">
        <w:trPr>
          <w:trHeight w:val="188"/>
        </w:trPr>
        <w:tc>
          <w:tcPr>
            <w:tcW w:w="448" w:type="dxa"/>
            <w:tcBorders>
              <w:top w:val="nil"/>
              <w:left w:val="single" w:sz="4" w:space="0" w:color="auto"/>
              <w:bottom w:val="single" w:sz="4" w:space="0" w:color="auto"/>
              <w:right w:val="single" w:sz="4" w:space="0" w:color="auto"/>
            </w:tcBorders>
            <w:noWrap/>
            <w:vAlign w:val="center"/>
            <w:hideMark/>
          </w:tcPr>
          <w:p w14:paraId="457AAD22" w14:textId="1CDDE90E" w:rsidR="000E1E4E" w:rsidRPr="00310D52" w:rsidRDefault="00275786"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7</w:t>
            </w:r>
          </w:p>
        </w:tc>
        <w:tc>
          <w:tcPr>
            <w:tcW w:w="627" w:type="dxa"/>
            <w:tcBorders>
              <w:top w:val="nil"/>
              <w:left w:val="nil"/>
              <w:bottom w:val="single" w:sz="4" w:space="0" w:color="auto"/>
              <w:right w:val="single" w:sz="4" w:space="0" w:color="auto"/>
            </w:tcBorders>
            <w:vAlign w:val="center"/>
            <w:hideMark/>
          </w:tcPr>
          <w:p w14:paraId="0E50CC65"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CER</w:t>
            </w:r>
          </w:p>
        </w:tc>
        <w:tc>
          <w:tcPr>
            <w:tcW w:w="1440" w:type="dxa"/>
            <w:tcBorders>
              <w:top w:val="nil"/>
              <w:left w:val="nil"/>
              <w:bottom w:val="single" w:sz="4" w:space="0" w:color="auto"/>
              <w:right w:val="single" w:sz="4" w:space="0" w:color="auto"/>
            </w:tcBorders>
            <w:vAlign w:val="center"/>
            <w:hideMark/>
          </w:tcPr>
          <w:p w14:paraId="4CBDE667"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Mecanismo de respuesta y triaje activado mediante la gestión y coordinación con la red pública de salud</w:t>
            </w:r>
          </w:p>
        </w:tc>
        <w:tc>
          <w:tcPr>
            <w:tcW w:w="1890" w:type="dxa"/>
            <w:tcBorders>
              <w:top w:val="nil"/>
              <w:left w:val="nil"/>
              <w:bottom w:val="single" w:sz="4" w:space="0" w:color="auto"/>
              <w:right w:val="single" w:sz="4" w:space="0" w:color="auto"/>
            </w:tcBorders>
            <w:noWrap/>
            <w:vAlign w:val="center"/>
            <w:hideMark/>
          </w:tcPr>
          <w:p w14:paraId="2C3CE199"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Mesas de coordinación interinstitucional creadas.</w:t>
            </w:r>
          </w:p>
        </w:tc>
        <w:tc>
          <w:tcPr>
            <w:tcW w:w="720" w:type="dxa"/>
            <w:tcBorders>
              <w:top w:val="nil"/>
              <w:left w:val="nil"/>
              <w:bottom w:val="single" w:sz="4" w:space="0" w:color="auto"/>
              <w:right w:val="single" w:sz="4" w:space="0" w:color="auto"/>
            </w:tcBorders>
            <w:noWrap/>
            <w:vAlign w:val="center"/>
            <w:hideMark/>
          </w:tcPr>
          <w:p w14:paraId="36A77ECD"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Semestral</w:t>
            </w:r>
          </w:p>
        </w:tc>
        <w:tc>
          <w:tcPr>
            <w:tcW w:w="720" w:type="dxa"/>
            <w:tcBorders>
              <w:top w:val="nil"/>
              <w:left w:val="nil"/>
              <w:bottom w:val="single" w:sz="4" w:space="0" w:color="auto"/>
              <w:right w:val="single" w:sz="4" w:space="0" w:color="auto"/>
            </w:tcBorders>
            <w:noWrap/>
            <w:vAlign w:val="center"/>
            <w:hideMark/>
          </w:tcPr>
          <w:p w14:paraId="52B85E9B"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2</w:t>
            </w:r>
          </w:p>
        </w:tc>
        <w:tc>
          <w:tcPr>
            <w:tcW w:w="630" w:type="dxa"/>
            <w:tcBorders>
              <w:top w:val="nil"/>
              <w:left w:val="nil"/>
              <w:bottom w:val="single" w:sz="4" w:space="0" w:color="auto"/>
              <w:right w:val="single" w:sz="4" w:space="0" w:color="auto"/>
            </w:tcBorders>
            <w:noWrap/>
            <w:vAlign w:val="center"/>
            <w:hideMark/>
          </w:tcPr>
          <w:p w14:paraId="06123BE0"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6</w:t>
            </w:r>
          </w:p>
        </w:tc>
        <w:tc>
          <w:tcPr>
            <w:tcW w:w="630" w:type="dxa"/>
            <w:tcBorders>
              <w:top w:val="nil"/>
              <w:left w:val="nil"/>
              <w:bottom w:val="single" w:sz="4" w:space="0" w:color="auto"/>
              <w:right w:val="single" w:sz="4" w:space="0" w:color="auto"/>
            </w:tcBorders>
            <w:vAlign w:val="center"/>
            <w:hideMark/>
          </w:tcPr>
          <w:p w14:paraId="048FB282" w14:textId="77777777" w:rsidR="000E1E4E" w:rsidRPr="00310D52" w:rsidRDefault="000E1E4E" w:rsidP="00756335">
            <w:pPr>
              <w:spacing w:after="0" w:line="360" w:lineRule="auto"/>
              <w:jc w:val="both"/>
              <w:rPr>
                <w:rFonts w:eastAsia="Times New Roman"/>
                <w:spacing w:val="0"/>
                <w:sz w:val="18"/>
                <w:szCs w:val="18"/>
                <w:lang w:val="es-DO"/>
              </w:rPr>
            </w:pPr>
            <w:r w:rsidRPr="00310D52">
              <w:rPr>
                <w:rFonts w:eastAsia="Times New Roman"/>
                <w:spacing w:val="0"/>
                <w:sz w:val="18"/>
                <w:szCs w:val="18"/>
                <w:lang w:val="es-DO"/>
              </w:rPr>
              <w:t>6</w:t>
            </w:r>
          </w:p>
        </w:tc>
        <w:tc>
          <w:tcPr>
            <w:tcW w:w="805" w:type="dxa"/>
            <w:tcBorders>
              <w:top w:val="nil"/>
              <w:left w:val="nil"/>
              <w:bottom w:val="single" w:sz="4" w:space="0" w:color="auto"/>
              <w:right w:val="single" w:sz="4" w:space="0" w:color="auto"/>
            </w:tcBorders>
            <w:vAlign w:val="center"/>
            <w:hideMark/>
          </w:tcPr>
          <w:p w14:paraId="17BFC633" w14:textId="77777777" w:rsidR="000E1E4E" w:rsidRPr="00310D52" w:rsidRDefault="000E1E4E" w:rsidP="00756335">
            <w:pPr>
              <w:spacing w:after="0" w:line="360" w:lineRule="auto"/>
              <w:jc w:val="both"/>
              <w:rPr>
                <w:rFonts w:eastAsia="Times New Roman"/>
                <w:b/>
                <w:bCs/>
                <w:spacing w:val="0"/>
                <w:sz w:val="18"/>
                <w:szCs w:val="18"/>
                <w:lang w:val="es-DO"/>
              </w:rPr>
            </w:pPr>
            <w:r w:rsidRPr="00310D52">
              <w:rPr>
                <w:rFonts w:eastAsia="Times New Roman"/>
                <w:b/>
                <w:bCs/>
                <w:spacing w:val="0"/>
                <w:sz w:val="18"/>
                <w:szCs w:val="18"/>
                <w:lang w:val="es-DO"/>
              </w:rPr>
              <w:t>100%</w:t>
            </w:r>
          </w:p>
        </w:tc>
      </w:tr>
    </w:tbl>
    <w:p w14:paraId="435C1A9D" w14:textId="016C147C" w:rsidR="000E1E4E" w:rsidRPr="00310D52" w:rsidRDefault="000E1E4E" w:rsidP="00756335">
      <w:pPr>
        <w:spacing w:line="360" w:lineRule="auto"/>
        <w:jc w:val="both"/>
        <w:rPr>
          <w:i/>
          <w:iCs/>
          <w:sz w:val="18"/>
          <w:szCs w:val="18"/>
          <w:lang w:val="es-DO"/>
        </w:rPr>
      </w:pPr>
      <w:r w:rsidRPr="00310D52">
        <w:rPr>
          <w:i/>
          <w:iCs/>
          <w:sz w:val="18"/>
          <w:szCs w:val="18"/>
          <w:lang w:val="es-DO"/>
        </w:rPr>
        <w:t>Fuente: Planificación y Desarrollo</w:t>
      </w:r>
    </w:p>
    <w:p w14:paraId="1C752A76" w14:textId="77777777" w:rsidR="000E1E4E" w:rsidRPr="00310D52" w:rsidRDefault="000E1E4E" w:rsidP="004D6EA1">
      <w:pPr>
        <w:rPr>
          <w:b/>
          <w:bCs/>
          <w:lang w:val="es-DO"/>
        </w:rPr>
        <w:sectPr w:rsidR="000E1E4E" w:rsidRPr="00310D52" w:rsidSect="004D6EA1">
          <w:pgSz w:w="12240" w:h="15840"/>
          <w:pgMar w:top="1440" w:right="2160" w:bottom="1440" w:left="2160" w:header="720" w:footer="720" w:gutter="0"/>
          <w:cols w:space="720"/>
          <w:docGrid w:linePitch="360"/>
        </w:sectPr>
      </w:pPr>
    </w:p>
    <w:p w14:paraId="48BC99BB" w14:textId="2BBF5D14" w:rsidR="000E1E4E" w:rsidRPr="00F06D9C" w:rsidRDefault="000E1E4E" w:rsidP="000E1E4E">
      <w:pPr>
        <w:pStyle w:val="Prrafodelista"/>
        <w:numPr>
          <w:ilvl w:val="0"/>
          <w:numId w:val="30"/>
        </w:numPr>
        <w:ind w:left="450"/>
        <w:rPr>
          <w:b/>
          <w:bCs/>
          <w:lang w:val="es-DO"/>
        </w:rPr>
      </w:pPr>
      <w:r w:rsidRPr="00F06D9C">
        <w:rPr>
          <w:b/>
          <w:bCs/>
          <w:lang w:val="es-DO"/>
        </w:rPr>
        <w:lastRenderedPageBreak/>
        <w:t>Resumen del Plan de Compras</w:t>
      </w:r>
    </w:p>
    <w:tbl>
      <w:tblPr>
        <w:tblW w:w="7165" w:type="dxa"/>
        <w:jc w:val="center"/>
        <w:tblCellMar>
          <w:left w:w="70" w:type="dxa"/>
          <w:right w:w="70" w:type="dxa"/>
        </w:tblCellMar>
        <w:tblLook w:val="04A0" w:firstRow="1" w:lastRow="0" w:firstColumn="1" w:lastColumn="0" w:noHBand="0" w:noVBand="1"/>
      </w:tblPr>
      <w:tblGrid>
        <w:gridCol w:w="3880"/>
        <w:gridCol w:w="3285"/>
      </w:tblGrid>
      <w:tr w:rsidR="00310D52" w:rsidRPr="00310D52" w14:paraId="2F78E437" w14:textId="77777777" w:rsidTr="004D6EA1">
        <w:trPr>
          <w:trHeight w:val="80"/>
          <w:jc w:val="center"/>
        </w:trPr>
        <w:tc>
          <w:tcPr>
            <w:tcW w:w="3880" w:type="dxa"/>
            <w:tcBorders>
              <w:top w:val="nil"/>
              <w:left w:val="nil"/>
              <w:bottom w:val="nil"/>
              <w:right w:val="nil"/>
            </w:tcBorders>
            <w:shd w:val="clear" w:color="000000" w:fill="FFFFFF"/>
            <w:noWrap/>
            <w:vAlign w:val="bottom"/>
            <w:hideMark/>
          </w:tcPr>
          <w:p w14:paraId="46CE895B"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 </w:t>
            </w:r>
          </w:p>
        </w:tc>
        <w:tc>
          <w:tcPr>
            <w:tcW w:w="3285" w:type="dxa"/>
            <w:tcBorders>
              <w:top w:val="nil"/>
              <w:left w:val="nil"/>
              <w:bottom w:val="nil"/>
              <w:right w:val="nil"/>
            </w:tcBorders>
            <w:shd w:val="clear" w:color="000000" w:fill="FFFFFF"/>
            <w:noWrap/>
            <w:vAlign w:val="bottom"/>
            <w:hideMark/>
          </w:tcPr>
          <w:p w14:paraId="7C78559A"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 </w:t>
            </w:r>
          </w:p>
        </w:tc>
      </w:tr>
      <w:tr w:rsidR="00310D52" w:rsidRPr="00310D52" w14:paraId="33FD7A4B" w14:textId="77777777" w:rsidTr="004D6EA1">
        <w:trPr>
          <w:trHeight w:val="60"/>
          <w:jc w:val="center"/>
        </w:trPr>
        <w:tc>
          <w:tcPr>
            <w:tcW w:w="7165" w:type="dxa"/>
            <w:gridSpan w:val="2"/>
            <w:tcBorders>
              <w:top w:val="single" w:sz="8" w:space="0" w:color="auto"/>
              <w:left w:val="single" w:sz="8" w:space="0" w:color="auto"/>
              <w:bottom w:val="single" w:sz="8" w:space="0" w:color="auto"/>
              <w:right w:val="single" w:sz="8" w:space="0" w:color="000000"/>
            </w:tcBorders>
            <w:shd w:val="clear" w:color="auto" w:fill="D9D9D9"/>
            <w:vAlign w:val="center"/>
            <w:hideMark/>
          </w:tcPr>
          <w:p w14:paraId="4BD7E1C7" w14:textId="77777777" w:rsidR="000E1E4E" w:rsidRPr="00310D52" w:rsidRDefault="000E1E4E" w:rsidP="00F7527F">
            <w:pPr>
              <w:spacing w:after="0" w:line="240" w:lineRule="auto"/>
              <w:jc w:val="center"/>
              <w:rPr>
                <w:rFonts w:eastAsia="Times New Roman"/>
                <w:b/>
                <w:bCs/>
                <w:sz w:val="18"/>
                <w:szCs w:val="18"/>
                <w:lang w:val="es-DO" w:eastAsia="es-DO"/>
              </w:rPr>
            </w:pPr>
            <w:r w:rsidRPr="00310D52">
              <w:rPr>
                <w:rFonts w:eastAsia="Times New Roman"/>
                <w:b/>
                <w:bCs/>
                <w:sz w:val="18"/>
                <w:szCs w:val="18"/>
                <w:lang w:val="es-DO" w:eastAsia="es-DO"/>
              </w:rPr>
              <w:t>DATOS DE CABECERA PACC</w:t>
            </w:r>
          </w:p>
        </w:tc>
      </w:tr>
      <w:tr w:rsidR="00310D52" w:rsidRPr="00310D52" w14:paraId="068C97B4" w14:textId="77777777" w:rsidTr="004D6EA1">
        <w:trPr>
          <w:trHeight w:val="120"/>
          <w:jc w:val="center"/>
        </w:trPr>
        <w:tc>
          <w:tcPr>
            <w:tcW w:w="3880" w:type="dxa"/>
            <w:tcBorders>
              <w:top w:val="nil"/>
              <w:left w:val="single" w:sz="8" w:space="0" w:color="auto"/>
              <w:bottom w:val="single" w:sz="8" w:space="0" w:color="E7E6E6"/>
              <w:right w:val="nil"/>
            </w:tcBorders>
            <w:shd w:val="clear" w:color="000000" w:fill="FFFFFF"/>
            <w:vAlign w:val="center"/>
            <w:hideMark/>
          </w:tcPr>
          <w:p w14:paraId="1E495169"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Monto estimado total</w:t>
            </w:r>
          </w:p>
        </w:tc>
        <w:tc>
          <w:tcPr>
            <w:tcW w:w="3285" w:type="dxa"/>
            <w:tcBorders>
              <w:top w:val="nil"/>
              <w:left w:val="nil"/>
              <w:bottom w:val="single" w:sz="8" w:space="0" w:color="E7E6E6"/>
              <w:right w:val="single" w:sz="8" w:space="0" w:color="auto"/>
            </w:tcBorders>
            <w:noWrap/>
            <w:vAlign w:val="center"/>
            <w:hideMark/>
          </w:tcPr>
          <w:p w14:paraId="7DC4EB87"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$2,078,573,456.04 </w:t>
            </w:r>
          </w:p>
        </w:tc>
      </w:tr>
      <w:tr w:rsidR="00310D52" w:rsidRPr="00310D52" w14:paraId="637E39D3"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5AA47907"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Monto total contratado</w:t>
            </w:r>
          </w:p>
        </w:tc>
        <w:tc>
          <w:tcPr>
            <w:tcW w:w="3285" w:type="dxa"/>
            <w:tcBorders>
              <w:top w:val="nil"/>
              <w:left w:val="nil"/>
              <w:bottom w:val="single" w:sz="8" w:space="0" w:color="E7E6E6"/>
              <w:right w:val="single" w:sz="8" w:space="0" w:color="auto"/>
            </w:tcBorders>
            <w:noWrap/>
            <w:vAlign w:val="center"/>
            <w:hideMark/>
          </w:tcPr>
          <w:p w14:paraId="72C3FAED"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$1,785,197,829.00 </w:t>
            </w:r>
          </w:p>
        </w:tc>
      </w:tr>
      <w:tr w:rsidR="00310D52" w:rsidRPr="00310D52" w14:paraId="41877018" w14:textId="77777777" w:rsidTr="004D6EA1">
        <w:trPr>
          <w:trHeight w:val="127"/>
          <w:jc w:val="center"/>
        </w:trPr>
        <w:tc>
          <w:tcPr>
            <w:tcW w:w="3880" w:type="dxa"/>
            <w:tcBorders>
              <w:top w:val="nil"/>
              <w:left w:val="single" w:sz="8" w:space="0" w:color="auto"/>
              <w:bottom w:val="single" w:sz="8" w:space="0" w:color="E7E6E6"/>
              <w:right w:val="nil"/>
            </w:tcBorders>
            <w:shd w:val="clear" w:color="000000" w:fill="FFFFFF"/>
            <w:vAlign w:val="center"/>
            <w:hideMark/>
          </w:tcPr>
          <w:p w14:paraId="7C7D4ADC"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Cantidad de procesos registrados</w:t>
            </w:r>
          </w:p>
        </w:tc>
        <w:tc>
          <w:tcPr>
            <w:tcW w:w="3285" w:type="dxa"/>
            <w:tcBorders>
              <w:top w:val="nil"/>
              <w:left w:val="nil"/>
              <w:bottom w:val="single" w:sz="8" w:space="0" w:color="E7E6E6"/>
              <w:right w:val="single" w:sz="8" w:space="0" w:color="auto"/>
            </w:tcBorders>
            <w:shd w:val="clear" w:color="000000" w:fill="FFFFFF"/>
            <w:vAlign w:val="center"/>
            <w:hideMark/>
          </w:tcPr>
          <w:p w14:paraId="6DADD9BF"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39</w:t>
            </w:r>
          </w:p>
        </w:tc>
      </w:tr>
      <w:tr w:rsidR="00310D52" w:rsidRPr="00310D52" w14:paraId="45C11846"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03E41E5E"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Capítulo</w:t>
            </w:r>
          </w:p>
        </w:tc>
        <w:tc>
          <w:tcPr>
            <w:tcW w:w="3285" w:type="dxa"/>
            <w:tcBorders>
              <w:top w:val="nil"/>
              <w:left w:val="nil"/>
              <w:bottom w:val="single" w:sz="8" w:space="0" w:color="E7E6E6"/>
              <w:right w:val="single" w:sz="8" w:space="0" w:color="auto"/>
            </w:tcBorders>
            <w:shd w:val="clear" w:color="000000" w:fill="FFFFFF"/>
            <w:vAlign w:val="center"/>
            <w:hideMark/>
          </w:tcPr>
          <w:p w14:paraId="616DA0DD"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5180</w:t>
            </w:r>
          </w:p>
        </w:tc>
      </w:tr>
      <w:tr w:rsidR="00310D52" w:rsidRPr="00310D52" w14:paraId="76C454A1" w14:textId="77777777" w:rsidTr="004D6EA1">
        <w:trPr>
          <w:trHeight w:val="150"/>
          <w:jc w:val="center"/>
        </w:trPr>
        <w:tc>
          <w:tcPr>
            <w:tcW w:w="3880" w:type="dxa"/>
            <w:tcBorders>
              <w:top w:val="nil"/>
              <w:left w:val="single" w:sz="8" w:space="0" w:color="auto"/>
              <w:bottom w:val="single" w:sz="8" w:space="0" w:color="E7E6E6"/>
              <w:right w:val="nil"/>
            </w:tcBorders>
            <w:shd w:val="clear" w:color="000000" w:fill="FFFFFF"/>
            <w:vAlign w:val="center"/>
            <w:hideMark/>
          </w:tcPr>
          <w:p w14:paraId="1BCD150A"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Subcapítulo</w:t>
            </w:r>
          </w:p>
        </w:tc>
        <w:tc>
          <w:tcPr>
            <w:tcW w:w="3285" w:type="dxa"/>
            <w:tcBorders>
              <w:top w:val="nil"/>
              <w:left w:val="nil"/>
              <w:bottom w:val="single" w:sz="8" w:space="0" w:color="E7E6E6"/>
              <w:right w:val="single" w:sz="8" w:space="0" w:color="auto"/>
            </w:tcBorders>
            <w:shd w:val="clear" w:color="000000" w:fill="FFFFFF"/>
            <w:vAlign w:val="center"/>
            <w:hideMark/>
          </w:tcPr>
          <w:p w14:paraId="25ACF1C8"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01</w:t>
            </w:r>
          </w:p>
        </w:tc>
      </w:tr>
      <w:tr w:rsidR="00310D52" w:rsidRPr="00310D52" w14:paraId="5E14C38C"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64EF8F8F"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Unidad ejecutora</w:t>
            </w:r>
          </w:p>
        </w:tc>
        <w:tc>
          <w:tcPr>
            <w:tcW w:w="3285" w:type="dxa"/>
            <w:tcBorders>
              <w:top w:val="nil"/>
              <w:left w:val="nil"/>
              <w:bottom w:val="single" w:sz="8" w:space="0" w:color="E7E6E6"/>
              <w:right w:val="single" w:sz="8" w:space="0" w:color="auto"/>
            </w:tcBorders>
            <w:shd w:val="clear" w:color="000000" w:fill="FFFFFF"/>
            <w:vAlign w:val="center"/>
            <w:hideMark/>
          </w:tcPr>
          <w:p w14:paraId="5563508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0016</w:t>
            </w:r>
          </w:p>
        </w:tc>
      </w:tr>
      <w:tr w:rsidR="00310D52" w:rsidRPr="00F06D9C" w14:paraId="73728C9E" w14:textId="77777777" w:rsidTr="004D6EA1">
        <w:trPr>
          <w:trHeight w:val="619"/>
          <w:jc w:val="center"/>
        </w:trPr>
        <w:tc>
          <w:tcPr>
            <w:tcW w:w="3880" w:type="dxa"/>
            <w:tcBorders>
              <w:top w:val="nil"/>
              <w:left w:val="single" w:sz="8" w:space="0" w:color="auto"/>
              <w:bottom w:val="single" w:sz="8" w:space="0" w:color="E7E6E6"/>
              <w:right w:val="nil"/>
            </w:tcBorders>
            <w:shd w:val="clear" w:color="000000" w:fill="FFFFFF"/>
            <w:vAlign w:val="center"/>
            <w:hideMark/>
          </w:tcPr>
          <w:p w14:paraId="5D9ECBC4"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Unidad de compra</w:t>
            </w:r>
          </w:p>
        </w:tc>
        <w:tc>
          <w:tcPr>
            <w:tcW w:w="3285" w:type="dxa"/>
            <w:tcBorders>
              <w:top w:val="nil"/>
              <w:left w:val="nil"/>
              <w:bottom w:val="single" w:sz="8" w:space="0" w:color="E7E6E6"/>
              <w:right w:val="single" w:sz="8" w:space="0" w:color="auto"/>
            </w:tcBorders>
            <w:shd w:val="clear" w:color="000000" w:fill="FFFFFF"/>
            <w:vAlign w:val="center"/>
            <w:hideMark/>
          </w:tcPr>
          <w:p w14:paraId="2FFC0C59"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Dirección de Servicios de Atención a Emergencias Extrahospitalarias</w:t>
            </w:r>
          </w:p>
        </w:tc>
      </w:tr>
      <w:tr w:rsidR="00310D52" w:rsidRPr="00310D52" w14:paraId="40FA39AD" w14:textId="77777777" w:rsidTr="004D6EA1">
        <w:trPr>
          <w:trHeight w:val="109"/>
          <w:jc w:val="center"/>
        </w:trPr>
        <w:tc>
          <w:tcPr>
            <w:tcW w:w="3880" w:type="dxa"/>
            <w:tcBorders>
              <w:top w:val="nil"/>
              <w:left w:val="single" w:sz="8" w:space="0" w:color="auto"/>
              <w:bottom w:val="single" w:sz="8" w:space="0" w:color="E7E6E6"/>
              <w:right w:val="nil"/>
            </w:tcBorders>
            <w:shd w:val="clear" w:color="000000" w:fill="FFFFFF"/>
            <w:vAlign w:val="center"/>
            <w:hideMark/>
          </w:tcPr>
          <w:p w14:paraId="0C8984E2"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Año fiscal</w:t>
            </w:r>
          </w:p>
        </w:tc>
        <w:tc>
          <w:tcPr>
            <w:tcW w:w="3285" w:type="dxa"/>
            <w:tcBorders>
              <w:top w:val="nil"/>
              <w:left w:val="nil"/>
              <w:bottom w:val="single" w:sz="8" w:space="0" w:color="E7E6E6"/>
              <w:right w:val="single" w:sz="8" w:space="0" w:color="auto"/>
            </w:tcBorders>
            <w:shd w:val="clear" w:color="000000" w:fill="FFFFFF"/>
            <w:vAlign w:val="center"/>
            <w:hideMark/>
          </w:tcPr>
          <w:p w14:paraId="12BB92C5"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2025</w:t>
            </w:r>
          </w:p>
        </w:tc>
      </w:tr>
      <w:tr w:rsidR="00310D52" w:rsidRPr="00310D52" w14:paraId="493EF978" w14:textId="77777777" w:rsidTr="004D6EA1">
        <w:trPr>
          <w:trHeight w:val="60"/>
          <w:jc w:val="center"/>
        </w:trPr>
        <w:tc>
          <w:tcPr>
            <w:tcW w:w="3880" w:type="dxa"/>
            <w:tcBorders>
              <w:top w:val="nil"/>
              <w:left w:val="single" w:sz="8" w:space="0" w:color="auto"/>
              <w:bottom w:val="nil"/>
              <w:right w:val="nil"/>
            </w:tcBorders>
            <w:shd w:val="clear" w:color="000000" w:fill="FFFFFF"/>
            <w:vAlign w:val="center"/>
            <w:hideMark/>
          </w:tcPr>
          <w:p w14:paraId="5A837ED5"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Fecha aprobación</w:t>
            </w:r>
          </w:p>
        </w:tc>
        <w:tc>
          <w:tcPr>
            <w:tcW w:w="3285" w:type="dxa"/>
            <w:tcBorders>
              <w:top w:val="nil"/>
              <w:left w:val="nil"/>
              <w:bottom w:val="nil"/>
              <w:right w:val="single" w:sz="8" w:space="0" w:color="auto"/>
            </w:tcBorders>
            <w:vAlign w:val="center"/>
            <w:hideMark/>
          </w:tcPr>
          <w:p w14:paraId="01A59B2F" w14:textId="5D0AE013"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30 de noviembre</w:t>
            </w:r>
          </w:p>
        </w:tc>
      </w:tr>
      <w:tr w:rsidR="00310D52" w:rsidRPr="00F06D9C" w14:paraId="50D37A59" w14:textId="77777777" w:rsidTr="004D6EA1">
        <w:trPr>
          <w:trHeight w:val="60"/>
          <w:jc w:val="center"/>
        </w:trPr>
        <w:tc>
          <w:tcPr>
            <w:tcW w:w="7165" w:type="dxa"/>
            <w:gridSpan w:val="2"/>
            <w:tcBorders>
              <w:top w:val="single" w:sz="8" w:space="0" w:color="auto"/>
              <w:left w:val="single" w:sz="8" w:space="0" w:color="auto"/>
              <w:bottom w:val="single" w:sz="8" w:space="0" w:color="auto"/>
              <w:right w:val="single" w:sz="8" w:space="0" w:color="000000"/>
            </w:tcBorders>
            <w:shd w:val="clear" w:color="auto" w:fill="D9D9D9"/>
            <w:vAlign w:val="center"/>
            <w:hideMark/>
          </w:tcPr>
          <w:p w14:paraId="0FF54E8F" w14:textId="77777777" w:rsidR="000E1E4E" w:rsidRPr="00310D52" w:rsidRDefault="000E1E4E" w:rsidP="00F7527F">
            <w:pPr>
              <w:spacing w:after="0" w:line="240" w:lineRule="auto"/>
              <w:jc w:val="center"/>
              <w:rPr>
                <w:rFonts w:eastAsia="Times New Roman"/>
                <w:b/>
                <w:bCs/>
                <w:sz w:val="18"/>
                <w:szCs w:val="18"/>
                <w:lang w:val="es-DO" w:eastAsia="es-DO"/>
              </w:rPr>
            </w:pPr>
            <w:r w:rsidRPr="00310D52">
              <w:rPr>
                <w:rFonts w:eastAsia="Times New Roman"/>
                <w:b/>
                <w:bCs/>
                <w:sz w:val="18"/>
                <w:szCs w:val="18"/>
                <w:lang w:val="es-DO" w:eastAsia="es-DO"/>
              </w:rPr>
              <w:t>MONTOS ESTIMADOS SEGÚN OBJETO DE CONTRATACIÓN</w:t>
            </w:r>
          </w:p>
        </w:tc>
      </w:tr>
      <w:tr w:rsidR="00310D52" w:rsidRPr="00310D52" w14:paraId="2B12F0A3" w14:textId="77777777" w:rsidTr="004D6EA1">
        <w:trPr>
          <w:trHeight w:val="164"/>
          <w:jc w:val="center"/>
        </w:trPr>
        <w:tc>
          <w:tcPr>
            <w:tcW w:w="3880" w:type="dxa"/>
            <w:tcBorders>
              <w:top w:val="nil"/>
              <w:left w:val="single" w:sz="8" w:space="0" w:color="auto"/>
              <w:bottom w:val="single" w:sz="8" w:space="0" w:color="E7E6E6"/>
              <w:right w:val="nil"/>
            </w:tcBorders>
            <w:shd w:val="clear" w:color="000000" w:fill="FFFFFF"/>
            <w:vAlign w:val="center"/>
            <w:hideMark/>
          </w:tcPr>
          <w:p w14:paraId="5C097D39"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Bienes</w:t>
            </w:r>
          </w:p>
        </w:tc>
        <w:tc>
          <w:tcPr>
            <w:tcW w:w="3285" w:type="dxa"/>
            <w:tcBorders>
              <w:top w:val="nil"/>
              <w:left w:val="nil"/>
              <w:bottom w:val="single" w:sz="8" w:space="0" w:color="E7E6E6"/>
              <w:right w:val="single" w:sz="8" w:space="0" w:color="auto"/>
            </w:tcBorders>
            <w:noWrap/>
            <w:vAlign w:val="center"/>
            <w:hideMark/>
          </w:tcPr>
          <w:p w14:paraId="7315EC30"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$607,345,626.00 </w:t>
            </w:r>
          </w:p>
        </w:tc>
      </w:tr>
      <w:tr w:rsidR="00310D52" w:rsidRPr="00310D52" w14:paraId="7792F1CD"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10A67928"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Obras</w:t>
            </w:r>
          </w:p>
        </w:tc>
        <w:tc>
          <w:tcPr>
            <w:tcW w:w="3285" w:type="dxa"/>
            <w:tcBorders>
              <w:top w:val="nil"/>
              <w:left w:val="nil"/>
              <w:bottom w:val="single" w:sz="8" w:space="0" w:color="E7E6E6"/>
              <w:right w:val="single" w:sz="8" w:space="0" w:color="auto"/>
            </w:tcBorders>
            <w:noWrap/>
            <w:vAlign w:val="center"/>
            <w:hideMark/>
          </w:tcPr>
          <w:p w14:paraId="5D82A223"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6B99C658"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5B53448D"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Servicios</w:t>
            </w:r>
          </w:p>
        </w:tc>
        <w:tc>
          <w:tcPr>
            <w:tcW w:w="3285" w:type="dxa"/>
            <w:tcBorders>
              <w:top w:val="nil"/>
              <w:left w:val="nil"/>
              <w:bottom w:val="single" w:sz="8" w:space="0" w:color="E7E6E6"/>
              <w:right w:val="single" w:sz="8" w:space="0" w:color="auto"/>
            </w:tcBorders>
            <w:noWrap/>
            <w:vAlign w:val="center"/>
            <w:hideMark/>
          </w:tcPr>
          <w:p w14:paraId="2479B176"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$1,177,852,203.00 </w:t>
            </w:r>
          </w:p>
        </w:tc>
      </w:tr>
      <w:tr w:rsidR="00310D52" w:rsidRPr="00310D52" w14:paraId="1B397671"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055B0CF1"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Servicios: consultoría</w:t>
            </w:r>
          </w:p>
        </w:tc>
        <w:tc>
          <w:tcPr>
            <w:tcW w:w="3285" w:type="dxa"/>
            <w:tcBorders>
              <w:top w:val="nil"/>
              <w:left w:val="nil"/>
              <w:bottom w:val="single" w:sz="8" w:space="0" w:color="E7E6E6"/>
              <w:right w:val="single" w:sz="8" w:space="0" w:color="auto"/>
            </w:tcBorders>
            <w:noWrap/>
            <w:vAlign w:val="center"/>
            <w:hideMark/>
          </w:tcPr>
          <w:p w14:paraId="110C2D7B"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6587EEA0"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06818DB8"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Servicios: consultoría basada en la calidad de los servicios</w:t>
            </w:r>
          </w:p>
        </w:tc>
        <w:tc>
          <w:tcPr>
            <w:tcW w:w="3285" w:type="dxa"/>
            <w:tcBorders>
              <w:top w:val="nil"/>
              <w:left w:val="nil"/>
              <w:bottom w:val="single" w:sz="8" w:space="0" w:color="E7E6E6"/>
              <w:right w:val="single" w:sz="8" w:space="0" w:color="auto"/>
            </w:tcBorders>
            <w:shd w:val="clear" w:color="000000" w:fill="FFFFFF"/>
            <w:vAlign w:val="center"/>
            <w:hideMark/>
          </w:tcPr>
          <w:p w14:paraId="332675F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F06D9C" w14:paraId="15B89EDC" w14:textId="77777777" w:rsidTr="004D6EA1">
        <w:trPr>
          <w:trHeight w:val="317"/>
          <w:jc w:val="center"/>
        </w:trPr>
        <w:tc>
          <w:tcPr>
            <w:tcW w:w="7165" w:type="dxa"/>
            <w:gridSpan w:val="2"/>
            <w:tcBorders>
              <w:top w:val="single" w:sz="8" w:space="0" w:color="E7E6E6"/>
              <w:left w:val="single" w:sz="8" w:space="0" w:color="auto"/>
              <w:bottom w:val="single" w:sz="8" w:space="0" w:color="auto"/>
              <w:right w:val="single" w:sz="8" w:space="0" w:color="000000"/>
            </w:tcBorders>
            <w:shd w:val="clear" w:color="auto" w:fill="D9D9D9"/>
            <w:vAlign w:val="center"/>
            <w:hideMark/>
          </w:tcPr>
          <w:p w14:paraId="2ADA59ED" w14:textId="77777777" w:rsidR="000E1E4E" w:rsidRPr="00310D52" w:rsidRDefault="000E1E4E" w:rsidP="00F7527F">
            <w:pPr>
              <w:spacing w:after="0" w:line="240" w:lineRule="auto"/>
              <w:jc w:val="center"/>
              <w:rPr>
                <w:rFonts w:eastAsia="Times New Roman"/>
                <w:b/>
                <w:bCs/>
                <w:sz w:val="18"/>
                <w:szCs w:val="18"/>
                <w:lang w:val="es-DO" w:eastAsia="es-DO"/>
              </w:rPr>
            </w:pPr>
            <w:r w:rsidRPr="00310D52">
              <w:rPr>
                <w:rFonts w:eastAsia="Times New Roman"/>
                <w:b/>
                <w:bCs/>
                <w:sz w:val="18"/>
                <w:szCs w:val="18"/>
                <w:lang w:val="es-DO" w:eastAsia="es-DO"/>
              </w:rPr>
              <w:t>MONTOS ESTIMADOS SEGÚN CLASIFICACIÓN MIPYMES</w:t>
            </w:r>
          </w:p>
        </w:tc>
      </w:tr>
      <w:tr w:rsidR="00310D52" w:rsidRPr="00310D52" w14:paraId="568043F2"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66B31584"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MiPymes</w:t>
            </w:r>
          </w:p>
        </w:tc>
        <w:tc>
          <w:tcPr>
            <w:tcW w:w="3285" w:type="dxa"/>
            <w:tcBorders>
              <w:top w:val="nil"/>
              <w:left w:val="nil"/>
              <w:bottom w:val="single" w:sz="8" w:space="0" w:color="E7E6E6"/>
              <w:right w:val="single" w:sz="8" w:space="0" w:color="auto"/>
            </w:tcBorders>
            <w:noWrap/>
            <w:vAlign w:val="center"/>
            <w:hideMark/>
          </w:tcPr>
          <w:p w14:paraId="7F4D609C"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$339,573,730.00 </w:t>
            </w:r>
          </w:p>
        </w:tc>
      </w:tr>
      <w:tr w:rsidR="00310D52" w:rsidRPr="00310D52" w14:paraId="3936584A" w14:textId="77777777" w:rsidTr="004D6EA1">
        <w:trPr>
          <w:trHeight w:val="68"/>
          <w:jc w:val="center"/>
        </w:trPr>
        <w:tc>
          <w:tcPr>
            <w:tcW w:w="3880" w:type="dxa"/>
            <w:tcBorders>
              <w:top w:val="nil"/>
              <w:left w:val="single" w:sz="8" w:space="0" w:color="auto"/>
              <w:bottom w:val="single" w:sz="8" w:space="0" w:color="E7E6E6"/>
              <w:right w:val="nil"/>
            </w:tcBorders>
            <w:shd w:val="clear" w:color="000000" w:fill="FFFFFF"/>
            <w:vAlign w:val="center"/>
            <w:hideMark/>
          </w:tcPr>
          <w:p w14:paraId="11BB7DBF"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MiPymes mujer</w:t>
            </w:r>
          </w:p>
        </w:tc>
        <w:tc>
          <w:tcPr>
            <w:tcW w:w="3285" w:type="dxa"/>
            <w:tcBorders>
              <w:top w:val="nil"/>
              <w:left w:val="nil"/>
              <w:bottom w:val="single" w:sz="8" w:space="0" w:color="E7E6E6"/>
              <w:right w:val="single" w:sz="8" w:space="0" w:color="auto"/>
            </w:tcBorders>
            <w:noWrap/>
            <w:vAlign w:val="center"/>
            <w:hideMark/>
          </w:tcPr>
          <w:p w14:paraId="60D3D24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$124,304,024.00 </w:t>
            </w:r>
          </w:p>
        </w:tc>
      </w:tr>
      <w:tr w:rsidR="00310D52" w:rsidRPr="00310D52" w14:paraId="3DC22487"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4E5E3B3"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No MiPymes</w:t>
            </w:r>
          </w:p>
        </w:tc>
        <w:tc>
          <w:tcPr>
            <w:tcW w:w="3285" w:type="dxa"/>
            <w:tcBorders>
              <w:top w:val="nil"/>
              <w:left w:val="nil"/>
              <w:bottom w:val="single" w:sz="8" w:space="0" w:color="E7E6E6"/>
              <w:right w:val="single" w:sz="8" w:space="0" w:color="auto"/>
            </w:tcBorders>
            <w:noWrap/>
            <w:vAlign w:val="center"/>
            <w:hideMark/>
          </w:tcPr>
          <w:p w14:paraId="325D3B8B"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$1,321,320,075.00 </w:t>
            </w:r>
          </w:p>
        </w:tc>
      </w:tr>
      <w:tr w:rsidR="00310D52" w:rsidRPr="00F06D9C" w14:paraId="0E77C8E7" w14:textId="77777777" w:rsidTr="004D6EA1">
        <w:trPr>
          <w:trHeight w:val="60"/>
          <w:jc w:val="center"/>
        </w:trPr>
        <w:tc>
          <w:tcPr>
            <w:tcW w:w="7165" w:type="dxa"/>
            <w:gridSpan w:val="2"/>
            <w:tcBorders>
              <w:top w:val="single" w:sz="8" w:space="0" w:color="E7E6E6"/>
              <w:left w:val="single" w:sz="8" w:space="0" w:color="auto"/>
              <w:bottom w:val="single" w:sz="8" w:space="0" w:color="auto"/>
              <w:right w:val="single" w:sz="8" w:space="0" w:color="000000"/>
            </w:tcBorders>
            <w:shd w:val="clear" w:color="auto" w:fill="D9D9D9"/>
            <w:vAlign w:val="center"/>
            <w:hideMark/>
          </w:tcPr>
          <w:p w14:paraId="5C00317F" w14:textId="77777777" w:rsidR="000E1E4E" w:rsidRPr="00310D52" w:rsidRDefault="000E1E4E" w:rsidP="00F7527F">
            <w:pPr>
              <w:spacing w:after="0" w:line="240" w:lineRule="auto"/>
              <w:jc w:val="center"/>
              <w:rPr>
                <w:rFonts w:eastAsia="Times New Roman"/>
                <w:b/>
                <w:bCs/>
                <w:sz w:val="18"/>
                <w:szCs w:val="18"/>
                <w:lang w:val="es-DO" w:eastAsia="es-DO"/>
              </w:rPr>
            </w:pPr>
            <w:r w:rsidRPr="00310D52">
              <w:rPr>
                <w:rFonts w:eastAsia="Times New Roman"/>
                <w:b/>
                <w:bCs/>
                <w:sz w:val="18"/>
                <w:szCs w:val="18"/>
                <w:lang w:val="es-DO" w:eastAsia="es-DO"/>
              </w:rPr>
              <w:t>MONTOS ESTIMADOS SEGÚN TIPO DE PROCEDIMIENTO</w:t>
            </w:r>
          </w:p>
        </w:tc>
      </w:tr>
      <w:tr w:rsidR="00310D52" w:rsidRPr="00310D52" w14:paraId="04695CA5" w14:textId="77777777" w:rsidTr="004D6EA1">
        <w:trPr>
          <w:trHeight w:val="105"/>
          <w:jc w:val="center"/>
        </w:trPr>
        <w:tc>
          <w:tcPr>
            <w:tcW w:w="3880" w:type="dxa"/>
            <w:tcBorders>
              <w:top w:val="nil"/>
              <w:left w:val="single" w:sz="8" w:space="0" w:color="auto"/>
              <w:bottom w:val="single" w:sz="8" w:space="0" w:color="E7E6E6"/>
              <w:right w:val="nil"/>
            </w:tcBorders>
            <w:shd w:val="clear" w:color="000000" w:fill="FFFFFF"/>
            <w:vAlign w:val="center"/>
            <w:hideMark/>
          </w:tcPr>
          <w:p w14:paraId="246311BF"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Compras por debajo del umbral</w:t>
            </w:r>
          </w:p>
        </w:tc>
        <w:tc>
          <w:tcPr>
            <w:tcW w:w="3285" w:type="dxa"/>
            <w:tcBorders>
              <w:top w:val="nil"/>
              <w:left w:val="nil"/>
              <w:bottom w:val="single" w:sz="8" w:space="0" w:color="E7E6E6"/>
              <w:right w:val="single" w:sz="8" w:space="0" w:color="auto"/>
            </w:tcBorders>
            <w:noWrap/>
            <w:vAlign w:val="center"/>
            <w:hideMark/>
          </w:tcPr>
          <w:p w14:paraId="07AC9F56"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$11,270,641.00 </w:t>
            </w:r>
          </w:p>
        </w:tc>
      </w:tr>
      <w:tr w:rsidR="00310D52" w:rsidRPr="00310D52" w14:paraId="4D9BF41A"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5913D478"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Compra menor</w:t>
            </w:r>
          </w:p>
        </w:tc>
        <w:tc>
          <w:tcPr>
            <w:tcW w:w="3285" w:type="dxa"/>
            <w:tcBorders>
              <w:top w:val="nil"/>
              <w:left w:val="nil"/>
              <w:bottom w:val="single" w:sz="8" w:space="0" w:color="E7E6E6"/>
              <w:right w:val="single" w:sz="8" w:space="0" w:color="auto"/>
            </w:tcBorders>
            <w:noWrap/>
            <w:vAlign w:val="center"/>
            <w:hideMark/>
          </w:tcPr>
          <w:p w14:paraId="68CAF81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$12,799,771.00 </w:t>
            </w:r>
          </w:p>
        </w:tc>
      </w:tr>
      <w:tr w:rsidR="00310D52" w:rsidRPr="00310D52" w14:paraId="2FC39150"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2F0654E"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Comparación de precios</w:t>
            </w:r>
          </w:p>
        </w:tc>
        <w:tc>
          <w:tcPr>
            <w:tcW w:w="3285" w:type="dxa"/>
            <w:tcBorders>
              <w:top w:val="nil"/>
              <w:left w:val="nil"/>
              <w:bottom w:val="single" w:sz="8" w:space="0" w:color="E7E6E6"/>
              <w:right w:val="single" w:sz="8" w:space="0" w:color="auto"/>
            </w:tcBorders>
            <w:noWrap/>
            <w:vAlign w:val="center"/>
            <w:hideMark/>
          </w:tcPr>
          <w:p w14:paraId="0B6B55B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$14,673,150.00 </w:t>
            </w:r>
          </w:p>
        </w:tc>
      </w:tr>
      <w:tr w:rsidR="00310D52" w:rsidRPr="00310D52" w14:paraId="7984DA56"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CAA895E"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Licitación pública</w:t>
            </w:r>
          </w:p>
        </w:tc>
        <w:tc>
          <w:tcPr>
            <w:tcW w:w="3285" w:type="dxa"/>
            <w:tcBorders>
              <w:top w:val="nil"/>
              <w:left w:val="nil"/>
              <w:bottom w:val="single" w:sz="8" w:space="0" w:color="E7E6E6"/>
              <w:right w:val="single" w:sz="8" w:space="0" w:color="auto"/>
            </w:tcBorders>
            <w:noWrap/>
            <w:vAlign w:val="center"/>
            <w:hideMark/>
          </w:tcPr>
          <w:p w14:paraId="3564DD26"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$1,576,860,183.00 </w:t>
            </w:r>
          </w:p>
        </w:tc>
      </w:tr>
      <w:tr w:rsidR="00310D52" w:rsidRPr="00310D52" w14:paraId="7692DA0C"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8B905C8"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Licitación pública internacional</w:t>
            </w:r>
          </w:p>
        </w:tc>
        <w:tc>
          <w:tcPr>
            <w:tcW w:w="3285" w:type="dxa"/>
            <w:tcBorders>
              <w:top w:val="nil"/>
              <w:left w:val="nil"/>
              <w:bottom w:val="single" w:sz="8" w:space="0" w:color="E7E6E6"/>
              <w:right w:val="single" w:sz="8" w:space="0" w:color="auto"/>
            </w:tcBorders>
            <w:noWrap/>
            <w:vAlign w:val="center"/>
            <w:hideMark/>
          </w:tcPr>
          <w:p w14:paraId="6D1FC343"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754B30DF"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AC3F02C"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Licitación restringida</w:t>
            </w:r>
          </w:p>
        </w:tc>
        <w:tc>
          <w:tcPr>
            <w:tcW w:w="3285" w:type="dxa"/>
            <w:tcBorders>
              <w:top w:val="nil"/>
              <w:left w:val="nil"/>
              <w:bottom w:val="single" w:sz="8" w:space="0" w:color="E7E6E6"/>
              <w:right w:val="single" w:sz="8" w:space="0" w:color="auto"/>
            </w:tcBorders>
            <w:noWrap/>
            <w:vAlign w:val="center"/>
            <w:hideMark/>
          </w:tcPr>
          <w:p w14:paraId="49E1C4E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46E11998"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609ED73E"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Sorteo de obras</w:t>
            </w:r>
          </w:p>
        </w:tc>
        <w:tc>
          <w:tcPr>
            <w:tcW w:w="3285" w:type="dxa"/>
            <w:tcBorders>
              <w:top w:val="nil"/>
              <w:left w:val="nil"/>
              <w:bottom w:val="single" w:sz="8" w:space="0" w:color="E7E6E6"/>
              <w:right w:val="single" w:sz="8" w:space="0" w:color="auto"/>
            </w:tcBorders>
            <w:noWrap/>
            <w:vAlign w:val="center"/>
            <w:hideMark/>
          </w:tcPr>
          <w:p w14:paraId="48B445A8"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7FE11F9E"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449FB4B6"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Excepción - bienes o servicios con exclusividad</w:t>
            </w:r>
          </w:p>
        </w:tc>
        <w:tc>
          <w:tcPr>
            <w:tcW w:w="3285" w:type="dxa"/>
            <w:tcBorders>
              <w:top w:val="nil"/>
              <w:left w:val="nil"/>
              <w:bottom w:val="single" w:sz="8" w:space="0" w:color="E7E6E6"/>
              <w:right w:val="single" w:sz="8" w:space="0" w:color="auto"/>
            </w:tcBorders>
            <w:noWrap/>
            <w:vAlign w:val="center"/>
            <w:hideMark/>
          </w:tcPr>
          <w:p w14:paraId="3DE47173"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24F19065"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7A86DE3D"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Excepción - construcción, instalación o adquisición de oficinas para el servicio exterior</w:t>
            </w:r>
          </w:p>
        </w:tc>
        <w:tc>
          <w:tcPr>
            <w:tcW w:w="3285" w:type="dxa"/>
            <w:tcBorders>
              <w:top w:val="nil"/>
              <w:left w:val="nil"/>
              <w:bottom w:val="single" w:sz="8" w:space="0" w:color="E7E6E6"/>
              <w:right w:val="single" w:sz="8" w:space="0" w:color="auto"/>
            </w:tcBorders>
            <w:noWrap/>
            <w:vAlign w:val="center"/>
            <w:hideMark/>
          </w:tcPr>
          <w:p w14:paraId="2308D574"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4E55C270" w14:textId="77777777" w:rsidTr="004D6EA1">
        <w:trPr>
          <w:trHeight w:val="88"/>
          <w:jc w:val="center"/>
        </w:trPr>
        <w:tc>
          <w:tcPr>
            <w:tcW w:w="3880" w:type="dxa"/>
            <w:tcBorders>
              <w:top w:val="nil"/>
              <w:left w:val="single" w:sz="8" w:space="0" w:color="auto"/>
              <w:bottom w:val="single" w:sz="8" w:space="0" w:color="E7E6E6"/>
              <w:right w:val="nil"/>
            </w:tcBorders>
            <w:shd w:val="clear" w:color="000000" w:fill="FFFFFF"/>
            <w:vAlign w:val="center"/>
            <w:hideMark/>
          </w:tcPr>
          <w:p w14:paraId="623D3095"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Excepción - contratación de publicidad a través de medios de comunicación social</w:t>
            </w:r>
          </w:p>
        </w:tc>
        <w:tc>
          <w:tcPr>
            <w:tcW w:w="3285" w:type="dxa"/>
            <w:tcBorders>
              <w:top w:val="nil"/>
              <w:left w:val="nil"/>
              <w:bottom w:val="single" w:sz="8" w:space="0" w:color="E7E6E6"/>
              <w:right w:val="single" w:sz="8" w:space="0" w:color="auto"/>
            </w:tcBorders>
            <w:noWrap/>
            <w:vAlign w:val="center"/>
            <w:hideMark/>
          </w:tcPr>
          <w:p w14:paraId="607D9F51"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63C032CE" w14:textId="77777777" w:rsidTr="004D6EA1">
        <w:trPr>
          <w:trHeight w:val="423"/>
          <w:jc w:val="center"/>
        </w:trPr>
        <w:tc>
          <w:tcPr>
            <w:tcW w:w="3880" w:type="dxa"/>
            <w:tcBorders>
              <w:top w:val="nil"/>
              <w:left w:val="single" w:sz="8" w:space="0" w:color="auto"/>
              <w:bottom w:val="single" w:sz="8" w:space="0" w:color="E7E6E6"/>
              <w:right w:val="nil"/>
            </w:tcBorders>
            <w:shd w:val="clear" w:color="000000" w:fill="FFFFFF"/>
            <w:vAlign w:val="center"/>
            <w:hideMark/>
          </w:tcPr>
          <w:p w14:paraId="4B111EA0"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Excepción - obras científicas, técnicas, artísticas, o restauración de monumentos históricos</w:t>
            </w:r>
          </w:p>
        </w:tc>
        <w:tc>
          <w:tcPr>
            <w:tcW w:w="3285" w:type="dxa"/>
            <w:tcBorders>
              <w:top w:val="nil"/>
              <w:left w:val="nil"/>
              <w:bottom w:val="single" w:sz="8" w:space="0" w:color="E7E6E6"/>
              <w:right w:val="single" w:sz="8" w:space="0" w:color="auto"/>
            </w:tcBorders>
            <w:noWrap/>
            <w:vAlign w:val="center"/>
            <w:hideMark/>
          </w:tcPr>
          <w:p w14:paraId="6AD0B517"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310D52" w14:paraId="715E3D41" w14:textId="77777777" w:rsidTr="004D6EA1">
        <w:trPr>
          <w:trHeight w:val="60"/>
          <w:jc w:val="center"/>
        </w:trPr>
        <w:tc>
          <w:tcPr>
            <w:tcW w:w="3880" w:type="dxa"/>
            <w:tcBorders>
              <w:top w:val="nil"/>
              <w:left w:val="single" w:sz="8" w:space="0" w:color="auto"/>
              <w:bottom w:val="single" w:sz="8" w:space="0" w:color="E7E6E6"/>
              <w:right w:val="nil"/>
            </w:tcBorders>
            <w:shd w:val="clear" w:color="000000" w:fill="FFFFFF"/>
            <w:vAlign w:val="center"/>
            <w:hideMark/>
          </w:tcPr>
          <w:p w14:paraId="5F6A07FD"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Excepción - proveedor único</w:t>
            </w:r>
          </w:p>
        </w:tc>
        <w:tc>
          <w:tcPr>
            <w:tcW w:w="3285" w:type="dxa"/>
            <w:tcBorders>
              <w:top w:val="nil"/>
              <w:left w:val="nil"/>
              <w:bottom w:val="single" w:sz="8" w:space="0" w:color="E7E6E6"/>
              <w:right w:val="single" w:sz="8" w:space="0" w:color="auto"/>
            </w:tcBorders>
            <w:noWrap/>
            <w:vAlign w:val="center"/>
            <w:hideMark/>
          </w:tcPr>
          <w:p w14:paraId="01C1581F"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$90,321,624.00 </w:t>
            </w:r>
          </w:p>
        </w:tc>
      </w:tr>
      <w:tr w:rsidR="00310D52" w:rsidRPr="00310D52" w14:paraId="4DD35ABD" w14:textId="77777777" w:rsidTr="004D6EA1">
        <w:trPr>
          <w:trHeight w:val="178"/>
          <w:jc w:val="center"/>
        </w:trPr>
        <w:tc>
          <w:tcPr>
            <w:tcW w:w="3880" w:type="dxa"/>
            <w:tcBorders>
              <w:top w:val="nil"/>
              <w:left w:val="single" w:sz="8" w:space="0" w:color="auto"/>
              <w:bottom w:val="single" w:sz="8" w:space="0" w:color="E7E6E6"/>
              <w:right w:val="nil"/>
            </w:tcBorders>
            <w:shd w:val="clear" w:color="000000" w:fill="FFFFFF"/>
            <w:vAlign w:val="center"/>
            <w:hideMark/>
          </w:tcPr>
          <w:p w14:paraId="4760D5F5"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Subasta Inversa</w:t>
            </w:r>
          </w:p>
        </w:tc>
        <w:tc>
          <w:tcPr>
            <w:tcW w:w="3285" w:type="dxa"/>
            <w:tcBorders>
              <w:top w:val="nil"/>
              <w:left w:val="nil"/>
              <w:bottom w:val="single" w:sz="8" w:space="0" w:color="E7E6E6"/>
              <w:right w:val="single" w:sz="8" w:space="0" w:color="auto"/>
            </w:tcBorders>
            <w:noWrap/>
            <w:vAlign w:val="center"/>
            <w:hideMark/>
          </w:tcPr>
          <w:p w14:paraId="68FD05C6"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 xml:space="preserve">$79,272,460.00 </w:t>
            </w:r>
          </w:p>
        </w:tc>
      </w:tr>
      <w:tr w:rsidR="00310D52" w:rsidRPr="00310D52" w14:paraId="66437031" w14:textId="77777777" w:rsidTr="004D6EA1">
        <w:trPr>
          <w:trHeight w:val="60"/>
          <w:jc w:val="center"/>
        </w:trPr>
        <w:tc>
          <w:tcPr>
            <w:tcW w:w="3880" w:type="dxa"/>
            <w:tcBorders>
              <w:top w:val="nil"/>
              <w:left w:val="single" w:sz="8" w:space="0" w:color="auto"/>
              <w:bottom w:val="single" w:sz="8" w:space="0" w:color="auto"/>
              <w:right w:val="nil"/>
            </w:tcBorders>
            <w:shd w:val="clear" w:color="000000" w:fill="FFFFFF"/>
            <w:vAlign w:val="center"/>
            <w:hideMark/>
          </w:tcPr>
          <w:p w14:paraId="404CEE62" w14:textId="77777777" w:rsidR="000E1E4E" w:rsidRPr="00310D52" w:rsidRDefault="000E1E4E" w:rsidP="00F7527F">
            <w:pPr>
              <w:spacing w:after="0" w:line="240" w:lineRule="auto"/>
              <w:rPr>
                <w:rFonts w:eastAsia="Times New Roman"/>
                <w:sz w:val="18"/>
                <w:szCs w:val="18"/>
                <w:lang w:val="es-DO" w:eastAsia="es-DO"/>
              </w:rPr>
            </w:pPr>
            <w:r w:rsidRPr="00310D52">
              <w:rPr>
                <w:rFonts w:eastAsia="Times New Roman"/>
                <w:sz w:val="18"/>
                <w:szCs w:val="18"/>
                <w:lang w:val="es-DO" w:eastAsia="es-DO"/>
              </w:rPr>
              <w:t>Compra y contratación de combustible</w:t>
            </w:r>
          </w:p>
        </w:tc>
        <w:tc>
          <w:tcPr>
            <w:tcW w:w="3285" w:type="dxa"/>
            <w:tcBorders>
              <w:top w:val="nil"/>
              <w:left w:val="nil"/>
              <w:bottom w:val="single" w:sz="8" w:space="0" w:color="E7E6E6"/>
              <w:right w:val="single" w:sz="8" w:space="0" w:color="auto"/>
            </w:tcBorders>
            <w:noWrap/>
            <w:vAlign w:val="center"/>
            <w:hideMark/>
          </w:tcPr>
          <w:p w14:paraId="62620AC1" w14:textId="77777777" w:rsidR="000E1E4E" w:rsidRPr="00310D52" w:rsidRDefault="000E1E4E" w:rsidP="00F7527F">
            <w:pPr>
              <w:spacing w:after="0" w:line="240" w:lineRule="auto"/>
              <w:jc w:val="right"/>
              <w:rPr>
                <w:rFonts w:eastAsia="Times New Roman"/>
                <w:sz w:val="18"/>
                <w:szCs w:val="18"/>
                <w:lang w:val="es-DO" w:eastAsia="es-DO"/>
              </w:rPr>
            </w:pPr>
            <w:r w:rsidRPr="00310D52">
              <w:rPr>
                <w:rFonts w:eastAsia="Times New Roman"/>
                <w:sz w:val="18"/>
                <w:szCs w:val="18"/>
                <w:lang w:val="es-DO" w:eastAsia="es-DO"/>
              </w:rPr>
              <w:t>N/A</w:t>
            </w:r>
          </w:p>
        </w:tc>
      </w:tr>
      <w:tr w:rsidR="00310D52" w:rsidRPr="00F06D9C" w14:paraId="19CDCF6D" w14:textId="77777777" w:rsidTr="004D6EA1">
        <w:trPr>
          <w:trHeight w:val="302"/>
          <w:jc w:val="center"/>
        </w:trPr>
        <w:tc>
          <w:tcPr>
            <w:tcW w:w="7165" w:type="dxa"/>
            <w:gridSpan w:val="2"/>
            <w:tcBorders>
              <w:top w:val="single" w:sz="8" w:space="0" w:color="auto"/>
              <w:left w:val="nil"/>
              <w:bottom w:val="nil"/>
              <w:right w:val="nil"/>
            </w:tcBorders>
            <w:shd w:val="clear" w:color="000000" w:fill="FFFFFF"/>
            <w:noWrap/>
            <w:vAlign w:val="center"/>
            <w:hideMark/>
          </w:tcPr>
          <w:p w14:paraId="508FAD54" w14:textId="77777777" w:rsidR="000E1E4E" w:rsidRPr="00310D52" w:rsidRDefault="000E1E4E" w:rsidP="00F7527F">
            <w:pPr>
              <w:spacing w:after="0" w:line="240" w:lineRule="auto"/>
              <w:rPr>
                <w:rFonts w:eastAsia="Times New Roman"/>
                <w:i/>
                <w:iCs/>
                <w:sz w:val="18"/>
                <w:szCs w:val="18"/>
                <w:lang w:val="es-DO" w:eastAsia="es-DO"/>
              </w:rPr>
            </w:pPr>
          </w:p>
          <w:p w14:paraId="4433FF16" w14:textId="1828CCED" w:rsidR="000E1E4E" w:rsidRPr="00310D52" w:rsidRDefault="000E1E4E" w:rsidP="00F7527F">
            <w:pPr>
              <w:spacing w:after="0" w:line="240" w:lineRule="auto"/>
              <w:rPr>
                <w:rFonts w:eastAsia="Times New Roman"/>
                <w:i/>
                <w:iCs/>
                <w:sz w:val="18"/>
                <w:szCs w:val="18"/>
                <w:lang w:val="es-DO" w:eastAsia="es-DO"/>
              </w:rPr>
            </w:pPr>
            <w:r w:rsidRPr="00310D52">
              <w:rPr>
                <w:rFonts w:eastAsia="Times New Roman"/>
                <w:i/>
                <w:iCs/>
                <w:sz w:val="18"/>
                <w:szCs w:val="18"/>
                <w:lang w:val="es-DO" w:eastAsia="es-DO"/>
              </w:rPr>
              <w:t>Fuente: Elaborada en base a las informaciones del Sistema Electrónico de Contrataciones Públicas</w:t>
            </w:r>
          </w:p>
        </w:tc>
      </w:tr>
    </w:tbl>
    <w:p w14:paraId="49ECBCC8" w14:textId="77777777" w:rsidR="000E1E4E" w:rsidRPr="00310D52" w:rsidRDefault="000E1E4E" w:rsidP="000E1E4E">
      <w:pPr>
        <w:rPr>
          <w:sz w:val="18"/>
          <w:szCs w:val="18"/>
          <w:lang w:val="es-DO"/>
        </w:rPr>
      </w:pPr>
    </w:p>
    <w:p w14:paraId="338FE67E" w14:textId="77777777" w:rsidR="000E1E4E" w:rsidRPr="00310D52" w:rsidRDefault="000E1E4E" w:rsidP="000E1E4E">
      <w:pPr>
        <w:rPr>
          <w:sz w:val="18"/>
          <w:szCs w:val="18"/>
          <w:lang w:val="es-DO"/>
        </w:rPr>
      </w:pPr>
    </w:p>
    <w:p w14:paraId="7B17C1A8" w14:textId="77777777" w:rsidR="000E1E4E" w:rsidRPr="00310D52" w:rsidRDefault="000E1E4E" w:rsidP="000E1E4E">
      <w:pPr>
        <w:rPr>
          <w:sz w:val="18"/>
          <w:szCs w:val="18"/>
          <w:lang w:val="es-DO"/>
        </w:rPr>
      </w:pPr>
    </w:p>
    <w:p w14:paraId="0E51922B" w14:textId="77777777" w:rsidR="000E1E4E" w:rsidRPr="00F06D9C" w:rsidRDefault="000E1E4E" w:rsidP="000E1E4E">
      <w:pPr>
        <w:pStyle w:val="Prrafodelista"/>
        <w:numPr>
          <w:ilvl w:val="0"/>
          <w:numId w:val="30"/>
        </w:numPr>
        <w:ind w:left="450"/>
        <w:rPr>
          <w:b/>
          <w:bCs/>
          <w:lang w:val="es-DO"/>
        </w:rPr>
      </w:pPr>
      <w:r w:rsidRPr="00F06D9C">
        <w:rPr>
          <w:b/>
          <w:bCs/>
          <w:lang w:val="es-DO"/>
        </w:rPr>
        <w:lastRenderedPageBreak/>
        <w:t>Asistencias Prehospitalarias por mes/provincia</w:t>
      </w:r>
    </w:p>
    <w:p w14:paraId="4FEB3B5F" w14:textId="0F17C1B2" w:rsidR="000E1E4E" w:rsidRPr="00310D52" w:rsidRDefault="00434602" w:rsidP="000E1E4E">
      <w:pPr>
        <w:rPr>
          <w:sz w:val="18"/>
          <w:szCs w:val="18"/>
          <w:lang w:val="es-DO"/>
        </w:rPr>
      </w:pPr>
      <w:r w:rsidRPr="00310D52">
        <w:rPr>
          <w:sz w:val="18"/>
          <w:szCs w:val="18"/>
          <w:lang w:val="es-DO"/>
        </w:rPr>
        <w:object w:dxaOrig="16421" w:dyaOrig="9819" w14:anchorId="49FC0E0C">
          <v:shape id="_x0000_i1039" type="#_x0000_t75" style="width:391.5pt;height:483pt" o:ole="">
            <v:imagedata r:id="rId53" o:title=""/>
          </v:shape>
          <o:OLEObject Type="Embed" ProgID="Excel.Sheet.12" ShapeID="_x0000_i1039" DrawAspect="Content" ObjectID="_1832144379" r:id="rId54"/>
        </w:object>
      </w:r>
    </w:p>
    <w:p w14:paraId="2A00AD4E" w14:textId="77777777" w:rsidR="000E1E4E" w:rsidRPr="00310D52" w:rsidRDefault="000E1E4E" w:rsidP="000E1E4E">
      <w:pPr>
        <w:spacing w:after="0" w:line="240" w:lineRule="auto"/>
        <w:rPr>
          <w:rFonts w:eastAsia="Times New Roman"/>
          <w:i/>
          <w:iCs/>
          <w:sz w:val="18"/>
          <w:szCs w:val="18"/>
          <w:lang w:val="es-DO" w:eastAsia="es-DO"/>
        </w:rPr>
      </w:pPr>
      <w:r w:rsidRPr="00310D52">
        <w:rPr>
          <w:rFonts w:eastAsia="Times New Roman"/>
          <w:i/>
          <w:iCs/>
          <w:sz w:val="18"/>
          <w:szCs w:val="18"/>
          <w:lang w:val="es-DO" w:eastAsia="es-DO"/>
        </w:rPr>
        <w:t>Fuente: Departamento de Gestión de Extrahospitalaria</w:t>
      </w:r>
    </w:p>
    <w:p w14:paraId="789C94AD" w14:textId="77777777" w:rsidR="000E1E4E" w:rsidRPr="00310D52" w:rsidRDefault="000E1E4E" w:rsidP="000E1E4E">
      <w:pPr>
        <w:rPr>
          <w:sz w:val="18"/>
          <w:szCs w:val="18"/>
          <w:lang w:val="es-DO"/>
        </w:rPr>
      </w:pPr>
    </w:p>
    <w:p w14:paraId="101EB917" w14:textId="77777777" w:rsidR="000E1E4E" w:rsidRPr="00310D52" w:rsidRDefault="000E1E4E" w:rsidP="000E1E4E">
      <w:pPr>
        <w:rPr>
          <w:sz w:val="18"/>
          <w:szCs w:val="18"/>
          <w:lang w:val="es-DO"/>
        </w:rPr>
      </w:pPr>
    </w:p>
    <w:p w14:paraId="32173C3E" w14:textId="77777777" w:rsidR="000E1E4E" w:rsidRPr="00310D52" w:rsidRDefault="000E1E4E" w:rsidP="000E1E4E">
      <w:pPr>
        <w:rPr>
          <w:sz w:val="18"/>
          <w:szCs w:val="18"/>
          <w:lang w:val="es-DO"/>
        </w:rPr>
      </w:pPr>
    </w:p>
    <w:p w14:paraId="7AB77513" w14:textId="77777777" w:rsidR="000E1E4E" w:rsidRPr="00310D52" w:rsidRDefault="000E1E4E" w:rsidP="000E1E4E">
      <w:pPr>
        <w:rPr>
          <w:sz w:val="18"/>
          <w:szCs w:val="18"/>
          <w:lang w:val="es-DO"/>
        </w:rPr>
      </w:pPr>
    </w:p>
    <w:p w14:paraId="1776F9BB" w14:textId="77777777" w:rsidR="000E1E4E" w:rsidRPr="00310D52" w:rsidRDefault="000E1E4E" w:rsidP="000E1E4E">
      <w:pPr>
        <w:rPr>
          <w:sz w:val="18"/>
          <w:szCs w:val="18"/>
          <w:lang w:val="es-DO"/>
        </w:rPr>
      </w:pPr>
    </w:p>
    <w:p w14:paraId="0CD02D01" w14:textId="77777777" w:rsidR="000E1E4E" w:rsidRPr="00310D52" w:rsidRDefault="000E1E4E" w:rsidP="000E1E4E">
      <w:pPr>
        <w:rPr>
          <w:sz w:val="18"/>
          <w:szCs w:val="18"/>
          <w:lang w:val="es-DO"/>
        </w:rPr>
      </w:pPr>
    </w:p>
    <w:p w14:paraId="562879DA" w14:textId="2D43A14E" w:rsidR="000E1E4E" w:rsidRPr="00F06D9C" w:rsidRDefault="000E1E4E" w:rsidP="000E1E4E">
      <w:pPr>
        <w:pStyle w:val="Prrafodelista"/>
        <w:numPr>
          <w:ilvl w:val="0"/>
          <w:numId w:val="30"/>
        </w:numPr>
        <w:ind w:left="450"/>
        <w:rPr>
          <w:b/>
          <w:bCs/>
          <w:lang w:val="es-DO"/>
        </w:rPr>
      </w:pPr>
      <w:bookmarkStart w:id="63" w:name="_Toc172110858"/>
      <w:r w:rsidRPr="00F06D9C">
        <w:rPr>
          <w:b/>
          <w:bCs/>
          <w:lang w:val="es-DO"/>
        </w:rPr>
        <w:lastRenderedPageBreak/>
        <w:t>Traslados Prehospitalarios por mes/provincia</w:t>
      </w:r>
      <w:bookmarkEnd w:id="63"/>
    </w:p>
    <w:p w14:paraId="2883ED42" w14:textId="5EA43A64" w:rsidR="000E1E4E" w:rsidRPr="00310D52" w:rsidRDefault="00434602" w:rsidP="000E1E4E">
      <w:pPr>
        <w:rPr>
          <w:sz w:val="18"/>
          <w:szCs w:val="18"/>
          <w:lang w:val="es-DO"/>
        </w:rPr>
      </w:pPr>
      <w:r w:rsidRPr="00310D52">
        <w:rPr>
          <w:sz w:val="18"/>
          <w:szCs w:val="18"/>
          <w:lang w:val="es-DO"/>
        </w:rPr>
        <w:object w:dxaOrig="15388" w:dyaOrig="9005" w14:anchorId="4B6A3337">
          <v:shape id="_x0000_i1040" type="#_x0000_t75" style="width:388.5pt;height:489.75pt" o:ole="">
            <v:imagedata r:id="rId55" o:title=""/>
          </v:shape>
          <o:OLEObject Type="Embed" ProgID="Excel.Sheet.12" ShapeID="_x0000_i1040" DrawAspect="Content" ObjectID="_1832144380" r:id="rId56"/>
        </w:object>
      </w:r>
    </w:p>
    <w:p w14:paraId="0A021A26" w14:textId="77777777" w:rsidR="001F160D" w:rsidRPr="00310D52" w:rsidRDefault="001F160D" w:rsidP="001F160D">
      <w:pPr>
        <w:spacing w:after="0" w:line="240" w:lineRule="auto"/>
        <w:rPr>
          <w:rFonts w:eastAsia="Times New Roman"/>
          <w:i/>
          <w:iCs/>
          <w:sz w:val="18"/>
          <w:szCs w:val="18"/>
          <w:lang w:val="es-DO" w:eastAsia="es-DO"/>
        </w:rPr>
      </w:pPr>
      <w:r w:rsidRPr="00310D52">
        <w:rPr>
          <w:rFonts w:eastAsia="Times New Roman"/>
          <w:i/>
          <w:iCs/>
          <w:sz w:val="18"/>
          <w:szCs w:val="18"/>
          <w:lang w:val="es-DO" w:eastAsia="es-DO"/>
        </w:rPr>
        <w:t>Fuente: Departamento de Gestión de Extrahospitalaria</w:t>
      </w:r>
    </w:p>
    <w:p w14:paraId="4001395A" w14:textId="77777777" w:rsidR="001F160D" w:rsidRPr="00310D52" w:rsidRDefault="001F160D" w:rsidP="000E1E4E">
      <w:pPr>
        <w:rPr>
          <w:sz w:val="18"/>
          <w:szCs w:val="18"/>
          <w:lang w:val="es-DO"/>
        </w:rPr>
      </w:pPr>
    </w:p>
    <w:p w14:paraId="7D853554" w14:textId="77777777" w:rsidR="001F160D" w:rsidRPr="00310D52" w:rsidRDefault="001F160D" w:rsidP="000E1E4E">
      <w:pPr>
        <w:rPr>
          <w:sz w:val="18"/>
          <w:szCs w:val="18"/>
          <w:lang w:val="es-DO"/>
        </w:rPr>
      </w:pPr>
    </w:p>
    <w:p w14:paraId="3163D486" w14:textId="77777777" w:rsidR="001F160D" w:rsidRPr="00310D52" w:rsidRDefault="001F160D" w:rsidP="000E1E4E">
      <w:pPr>
        <w:rPr>
          <w:sz w:val="18"/>
          <w:szCs w:val="18"/>
          <w:lang w:val="es-DO"/>
        </w:rPr>
      </w:pPr>
    </w:p>
    <w:p w14:paraId="7F81B34C" w14:textId="77777777" w:rsidR="001F160D" w:rsidRPr="00310D52" w:rsidRDefault="001F160D" w:rsidP="000E1E4E">
      <w:pPr>
        <w:rPr>
          <w:sz w:val="18"/>
          <w:szCs w:val="18"/>
          <w:lang w:val="es-DO"/>
        </w:rPr>
      </w:pPr>
    </w:p>
    <w:p w14:paraId="7B1E51AC" w14:textId="77777777" w:rsidR="001F160D" w:rsidRPr="00310D52" w:rsidRDefault="001F160D" w:rsidP="000E1E4E">
      <w:pPr>
        <w:rPr>
          <w:sz w:val="18"/>
          <w:szCs w:val="18"/>
          <w:lang w:val="es-DO"/>
        </w:rPr>
      </w:pPr>
    </w:p>
    <w:p w14:paraId="31EBBEC3" w14:textId="77777777" w:rsidR="001F160D" w:rsidRPr="00310D52" w:rsidRDefault="001F160D" w:rsidP="000E1E4E">
      <w:pPr>
        <w:rPr>
          <w:sz w:val="18"/>
          <w:szCs w:val="18"/>
          <w:lang w:val="es-DO"/>
        </w:rPr>
      </w:pPr>
    </w:p>
    <w:p w14:paraId="359F5239" w14:textId="77777777" w:rsidR="001F160D" w:rsidRPr="00310D52" w:rsidRDefault="001F160D" w:rsidP="000E1E4E">
      <w:pPr>
        <w:rPr>
          <w:sz w:val="18"/>
          <w:szCs w:val="18"/>
          <w:lang w:val="es-DO"/>
        </w:rPr>
      </w:pPr>
    </w:p>
    <w:p w14:paraId="3FC77687" w14:textId="77777777" w:rsidR="001F160D" w:rsidRPr="00F06D9C" w:rsidRDefault="001F160D" w:rsidP="001F160D">
      <w:pPr>
        <w:pStyle w:val="Prrafodelista"/>
        <w:numPr>
          <w:ilvl w:val="0"/>
          <w:numId w:val="30"/>
        </w:numPr>
        <w:ind w:left="450"/>
        <w:rPr>
          <w:b/>
          <w:bCs/>
          <w:lang w:val="es-DO"/>
        </w:rPr>
      </w:pPr>
      <w:r w:rsidRPr="00F06D9C">
        <w:rPr>
          <w:b/>
          <w:bCs/>
          <w:lang w:val="es-DO"/>
        </w:rPr>
        <w:t>Asistencias Interhospitalarias por mes/provincia</w:t>
      </w:r>
    </w:p>
    <w:p w14:paraId="236DDC14" w14:textId="6DFA15F9" w:rsidR="001F160D" w:rsidRPr="00310D52" w:rsidRDefault="00434602" w:rsidP="000E1E4E">
      <w:pPr>
        <w:rPr>
          <w:sz w:val="18"/>
          <w:szCs w:val="18"/>
          <w:lang w:val="es-DO"/>
        </w:rPr>
      </w:pPr>
      <w:r w:rsidRPr="00310D52">
        <w:rPr>
          <w:sz w:val="18"/>
          <w:szCs w:val="18"/>
          <w:lang w:val="es-DO"/>
        </w:rPr>
        <w:object w:dxaOrig="15300" w:dyaOrig="10081" w14:anchorId="224249EE">
          <v:shape id="_x0000_i1041" type="#_x0000_t75" style="width:390pt;height:7in" o:ole="">
            <v:imagedata r:id="rId57" o:title=""/>
          </v:shape>
          <o:OLEObject Type="Embed" ProgID="Excel.Sheet.12" ShapeID="_x0000_i1041" DrawAspect="Content" ObjectID="_1832144381" r:id="rId58"/>
        </w:object>
      </w:r>
    </w:p>
    <w:p w14:paraId="7B53244F" w14:textId="77777777" w:rsidR="001F160D" w:rsidRPr="00310D52" w:rsidRDefault="001F160D" w:rsidP="001F160D">
      <w:pPr>
        <w:spacing w:after="0" w:line="240" w:lineRule="auto"/>
        <w:rPr>
          <w:rFonts w:eastAsia="Times New Roman"/>
          <w:i/>
          <w:iCs/>
          <w:sz w:val="18"/>
          <w:szCs w:val="18"/>
          <w:lang w:val="es-DO" w:eastAsia="es-DO"/>
        </w:rPr>
      </w:pPr>
      <w:r w:rsidRPr="00310D52">
        <w:rPr>
          <w:rFonts w:eastAsia="Times New Roman"/>
          <w:i/>
          <w:iCs/>
          <w:sz w:val="18"/>
          <w:szCs w:val="18"/>
          <w:lang w:val="es-DO" w:eastAsia="es-DO"/>
        </w:rPr>
        <w:t>Fuente: Departamento de Gestión de Extrahospitalaria</w:t>
      </w:r>
    </w:p>
    <w:p w14:paraId="00BA04B4" w14:textId="77777777" w:rsidR="001F160D" w:rsidRPr="00310D52" w:rsidRDefault="001F160D" w:rsidP="000E1E4E">
      <w:pPr>
        <w:rPr>
          <w:sz w:val="18"/>
          <w:szCs w:val="18"/>
          <w:lang w:val="es-DO"/>
        </w:rPr>
      </w:pPr>
    </w:p>
    <w:p w14:paraId="263BB3AC" w14:textId="77777777" w:rsidR="001F160D" w:rsidRPr="00310D52" w:rsidRDefault="001F160D" w:rsidP="000E1E4E">
      <w:pPr>
        <w:rPr>
          <w:sz w:val="18"/>
          <w:szCs w:val="18"/>
          <w:lang w:val="es-DO"/>
        </w:rPr>
      </w:pPr>
    </w:p>
    <w:p w14:paraId="0BF916D6" w14:textId="77777777" w:rsidR="001F160D" w:rsidRPr="00310D52" w:rsidRDefault="001F160D" w:rsidP="000E1E4E">
      <w:pPr>
        <w:rPr>
          <w:sz w:val="18"/>
          <w:szCs w:val="18"/>
          <w:lang w:val="es-DO"/>
        </w:rPr>
      </w:pPr>
    </w:p>
    <w:p w14:paraId="266F31C7" w14:textId="19B2A08B" w:rsidR="001F160D" w:rsidRPr="00F06D9C" w:rsidRDefault="001F160D" w:rsidP="001F160D">
      <w:pPr>
        <w:pStyle w:val="Prrafodelista"/>
        <w:numPr>
          <w:ilvl w:val="0"/>
          <w:numId w:val="30"/>
        </w:numPr>
        <w:ind w:left="450"/>
        <w:rPr>
          <w:b/>
          <w:bCs/>
          <w:lang w:val="es-DO"/>
        </w:rPr>
      </w:pPr>
      <w:r w:rsidRPr="00F06D9C">
        <w:rPr>
          <w:b/>
          <w:bCs/>
          <w:lang w:val="es-DO"/>
        </w:rPr>
        <w:lastRenderedPageBreak/>
        <w:t>Monitoreo POA</w:t>
      </w:r>
    </w:p>
    <w:p w14:paraId="5D81F05C" w14:textId="77777777" w:rsidR="001F160D" w:rsidRPr="00310D52" w:rsidRDefault="001F160D" w:rsidP="001F160D">
      <w:pPr>
        <w:pStyle w:val="Prrafodelista"/>
        <w:ind w:left="450"/>
        <w:rPr>
          <w:b/>
          <w:bCs/>
          <w:sz w:val="28"/>
          <w:szCs w:val="28"/>
          <w:lang w:val="es-DO"/>
        </w:rPr>
      </w:pPr>
    </w:p>
    <w:p w14:paraId="550E1644" w14:textId="04505039" w:rsidR="001F160D" w:rsidRPr="00310D52" w:rsidRDefault="001F160D" w:rsidP="001F160D">
      <w:pPr>
        <w:pStyle w:val="Prrafodelista"/>
        <w:ind w:left="450"/>
        <w:rPr>
          <w:b/>
          <w:bCs/>
          <w:sz w:val="28"/>
          <w:szCs w:val="28"/>
          <w:lang w:val="es-DO"/>
        </w:rPr>
      </w:pPr>
      <w:r w:rsidRPr="00310D52">
        <w:rPr>
          <w:b/>
          <w:bCs/>
          <w:sz w:val="28"/>
          <w:szCs w:val="28"/>
          <w:lang w:val="es-DO"/>
        </w:rPr>
        <w:object w:dxaOrig="3734" w:dyaOrig="2091" w14:anchorId="20BC9A0F">
          <v:shape id="_x0000_i1042" type="#_x0000_t75" style="width:229.5pt;height:128.25pt" o:ole="">
            <v:imagedata r:id="rId59" o:title=""/>
          </v:shape>
          <o:OLEObject Type="Embed" ProgID="Excel.Sheet.12" ShapeID="_x0000_i1042" DrawAspect="Content" ObjectID="_1832144382" r:id="rId60"/>
        </w:object>
      </w:r>
    </w:p>
    <w:p w14:paraId="7D488E0E" w14:textId="77777777" w:rsidR="001F160D" w:rsidRPr="00310D52" w:rsidRDefault="001F160D" w:rsidP="001F160D">
      <w:pPr>
        <w:ind w:firstLine="450"/>
        <w:rPr>
          <w:i/>
          <w:iCs/>
          <w:sz w:val="18"/>
          <w:szCs w:val="18"/>
          <w:lang w:val="es-DO"/>
        </w:rPr>
      </w:pPr>
      <w:r w:rsidRPr="00310D52">
        <w:rPr>
          <w:i/>
          <w:iCs/>
          <w:sz w:val="18"/>
          <w:szCs w:val="18"/>
          <w:lang w:val="es-DO"/>
        </w:rPr>
        <w:t>Fuente: Planificación y Desarrollo</w:t>
      </w:r>
    </w:p>
    <w:p w14:paraId="36F55848" w14:textId="77777777" w:rsidR="001F160D" w:rsidRPr="00310D52" w:rsidRDefault="001F160D" w:rsidP="001F160D">
      <w:pPr>
        <w:pStyle w:val="Prrafodelista"/>
        <w:ind w:left="450"/>
        <w:rPr>
          <w:b/>
          <w:bCs/>
          <w:sz w:val="28"/>
          <w:szCs w:val="28"/>
          <w:lang w:val="es-DO"/>
        </w:rPr>
      </w:pPr>
    </w:p>
    <w:p w14:paraId="55BD4923" w14:textId="65837502" w:rsidR="001F160D" w:rsidRPr="00F06D9C" w:rsidRDefault="00C7392F" w:rsidP="00460952">
      <w:pPr>
        <w:pStyle w:val="Prrafodelista"/>
        <w:numPr>
          <w:ilvl w:val="0"/>
          <w:numId w:val="30"/>
        </w:numPr>
        <w:ind w:left="450"/>
        <w:rPr>
          <w:b/>
          <w:bCs/>
          <w:lang w:val="es-DO"/>
        </w:rPr>
      </w:pPr>
      <w:r w:rsidRPr="00F06D9C">
        <w:rPr>
          <w:b/>
          <w:bCs/>
          <w:lang w:val="es-DO"/>
        </w:rPr>
        <w:t xml:space="preserve">Siglas y </w:t>
      </w:r>
      <w:r w:rsidR="00460952" w:rsidRPr="00F06D9C">
        <w:rPr>
          <w:b/>
          <w:bCs/>
          <w:lang w:val="es-DO"/>
        </w:rPr>
        <w:t>Definiciones</w:t>
      </w:r>
    </w:p>
    <w:p w14:paraId="6F30B6D4" w14:textId="77777777" w:rsidR="00460952" w:rsidRPr="00310D52" w:rsidRDefault="00460952" w:rsidP="00460952">
      <w:pPr>
        <w:pStyle w:val="Prrafodelista"/>
        <w:ind w:left="450"/>
        <w:rPr>
          <w:b/>
          <w:bCs/>
          <w:sz w:val="28"/>
          <w:szCs w:val="28"/>
          <w:lang w:val="es-DO"/>
        </w:rPr>
      </w:pPr>
    </w:p>
    <w:p w14:paraId="7F3E0A6C" w14:textId="0A048ADF"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9-1-1:</w:t>
      </w:r>
      <w:r w:rsidRPr="00310D52">
        <w:rPr>
          <w:rFonts w:eastAsia="Calibri"/>
          <w:noProof/>
          <w:lang w:val="es-DO"/>
        </w:rPr>
        <w:t xml:space="preserve"> Sistema Nacional de Atención a Emergencias y Seguridad</w:t>
      </w:r>
      <w:r w:rsidR="004A62D6" w:rsidRPr="00310D52">
        <w:rPr>
          <w:rFonts w:eastAsia="Calibri"/>
          <w:noProof/>
          <w:lang w:val="es-DO"/>
        </w:rPr>
        <w:t>.</w:t>
      </w:r>
    </w:p>
    <w:p w14:paraId="75B81CC6" w14:textId="6B5045F4"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CRUE</w:t>
      </w:r>
      <w:r w:rsidRPr="00310D52">
        <w:rPr>
          <w:rFonts w:eastAsia="Calibri"/>
          <w:noProof/>
          <w:lang w:val="es-DO"/>
        </w:rPr>
        <w:t>: Centro Regulador de Urgencias y Emergencias</w:t>
      </w:r>
      <w:r w:rsidR="004A62D6" w:rsidRPr="00310D52">
        <w:rPr>
          <w:rFonts w:eastAsia="Calibri"/>
          <w:noProof/>
          <w:lang w:val="es-DO"/>
        </w:rPr>
        <w:t>.</w:t>
      </w:r>
    </w:p>
    <w:p w14:paraId="3334C27B" w14:textId="0198A3A5"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DAEH</w:t>
      </w:r>
      <w:r w:rsidRPr="00310D52">
        <w:rPr>
          <w:rFonts w:eastAsia="Calibri"/>
          <w:noProof/>
          <w:lang w:val="es-DO"/>
        </w:rPr>
        <w:t>: Dirección de Servicios de Atención a Emergencias Extrahospitalarias</w:t>
      </w:r>
      <w:r w:rsidR="004A62D6" w:rsidRPr="00310D52">
        <w:rPr>
          <w:rFonts w:eastAsia="Calibri"/>
          <w:noProof/>
          <w:lang w:val="es-DO"/>
        </w:rPr>
        <w:t>.</w:t>
      </w:r>
    </w:p>
    <w:p w14:paraId="503B6BB0" w14:textId="27D6D062" w:rsidR="003133C2" w:rsidRPr="00310D52" w:rsidRDefault="003133C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Georreferenciación</w:t>
      </w:r>
      <w:r w:rsidRPr="00310D52">
        <w:rPr>
          <w:rFonts w:eastAsia="Calibri"/>
          <w:noProof/>
          <w:lang w:val="es-DO"/>
        </w:rPr>
        <w:t>: Proceso mediante el cual se asignan coordenadas geográficas a un evento, incidente o recurso, permitiendo su localización precisa dentro del territorio.</w:t>
      </w:r>
    </w:p>
    <w:p w14:paraId="6EF00B33" w14:textId="57CAAA1C"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MSP</w:t>
      </w:r>
      <w:r w:rsidRPr="00310D52">
        <w:rPr>
          <w:rFonts w:eastAsia="Calibri"/>
          <w:noProof/>
          <w:lang w:val="es-DO"/>
        </w:rPr>
        <w:t>: Ministerio de Salud Pública</w:t>
      </w:r>
      <w:r w:rsidR="004A62D6" w:rsidRPr="00310D52">
        <w:rPr>
          <w:rFonts w:eastAsia="Calibri"/>
          <w:noProof/>
          <w:lang w:val="es-DO"/>
        </w:rPr>
        <w:t>.</w:t>
      </w:r>
    </w:p>
    <w:p w14:paraId="09EAA682" w14:textId="14ECE4B8"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N/D:</w:t>
      </w:r>
      <w:r w:rsidRPr="00310D52">
        <w:rPr>
          <w:rFonts w:eastAsia="Calibri"/>
          <w:noProof/>
          <w:lang w:val="es-DO"/>
        </w:rPr>
        <w:t xml:space="preserve"> No disponible</w:t>
      </w:r>
      <w:r w:rsidR="004A62D6" w:rsidRPr="00310D52">
        <w:rPr>
          <w:rFonts w:eastAsia="Calibri"/>
          <w:noProof/>
          <w:lang w:val="es-DO"/>
        </w:rPr>
        <w:t>.</w:t>
      </w:r>
    </w:p>
    <w:p w14:paraId="76AAEDDF" w14:textId="667C9EEF" w:rsidR="004A62D6" w:rsidRPr="00310D52" w:rsidRDefault="004A62D6"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Preposición:</w:t>
      </w:r>
      <w:r w:rsidRPr="00310D52">
        <w:rPr>
          <w:rFonts w:eastAsia="Calibri"/>
          <w:noProof/>
          <w:lang w:val="es-DO"/>
        </w:rPr>
        <w:t xml:space="preserve"> Ubicación geográfica previamente establecida de manera estratégica para el posicionamiento de ambulancias y unidades de respuesta, con el objetivo de optimizar los tiempos de atención y mejorar la cobertura del servicio.</w:t>
      </w:r>
    </w:p>
    <w:p w14:paraId="358C8414" w14:textId="5F0F1F0A"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QRS</w:t>
      </w:r>
      <w:r w:rsidRPr="00310D52">
        <w:rPr>
          <w:rFonts w:eastAsia="Calibri"/>
          <w:noProof/>
          <w:lang w:val="es-DO"/>
        </w:rPr>
        <w:t>: Quejas, Reclamos y Sugerencias</w:t>
      </w:r>
      <w:r w:rsidR="004A62D6" w:rsidRPr="00310D52">
        <w:rPr>
          <w:rFonts w:eastAsia="Calibri"/>
          <w:noProof/>
          <w:lang w:val="es-DO"/>
        </w:rPr>
        <w:t>.</w:t>
      </w:r>
    </w:p>
    <w:p w14:paraId="6AB3D678" w14:textId="6226A550"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RCP</w:t>
      </w:r>
      <w:r w:rsidRPr="00310D52">
        <w:rPr>
          <w:rFonts w:eastAsia="Calibri"/>
          <w:noProof/>
          <w:lang w:val="es-DO"/>
        </w:rPr>
        <w:t>: Reanimación Cardiopulmonar</w:t>
      </w:r>
      <w:r w:rsidR="004A62D6" w:rsidRPr="00310D52">
        <w:rPr>
          <w:rFonts w:eastAsia="Calibri"/>
          <w:noProof/>
          <w:lang w:val="es-DO"/>
        </w:rPr>
        <w:t>.</w:t>
      </w:r>
    </w:p>
    <w:p w14:paraId="51717E79" w14:textId="57668BFA"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SISMAP</w:t>
      </w:r>
      <w:r w:rsidRPr="00310D52">
        <w:rPr>
          <w:rFonts w:eastAsia="Calibri"/>
          <w:noProof/>
          <w:lang w:val="es-DO"/>
        </w:rPr>
        <w:t>: Sistema de Monitoreo de la Administración Pública</w:t>
      </w:r>
      <w:r w:rsidR="004A62D6" w:rsidRPr="00310D52">
        <w:rPr>
          <w:rFonts w:eastAsia="Calibri"/>
          <w:noProof/>
          <w:lang w:val="es-DO"/>
        </w:rPr>
        <w:t>.</w:t>
      </w:r>
    </w:p>
    <w:p w14:paraId="37A60422" w14:textId="1414C9F8" w:rsidR="00460952" w:rsidRPr="00310D52" w:rsidRDefault="00460952" w:rsidP="00460952">
      <w:pPr>
        <w:pStyle w:val="Prrafodelista"/>
        <w:numPr>
          <w:ilvl w:val="0"/>
          <w:numId w:val="33"/>
        </w:numPr>
        <w:spacing w:line="360" w:lineRule="auto"/>
        <w:jc w:val="both"/>
        <w:rPr>
          <w:rFonts w:eastAsia="Calibri"/>
          <w:noProof/>
          <w:lang w:val="es-DO"/>
        </w:rPr>
      </w:pPr>
      <w:r w:rsidRPr="00310D52">
        <w:rPr>
          <w:rFonts w:eastAsia="Calibri"/>
          <w:b/>
          <w:bCs/>
          <w:noProof/>
          <w:lang w:val="es-DO"/>
        </w:rPr>
        <w:t>URI</w:t>
      </w:r>
      <w:r w:rsidRPr="00310D52">
        <w:rPr>
          <w:rFonts w:eastAsia="Calibri"/>
          <w:noProof/>
          <w:lang w:val="es-DO"/>
        </w:rPr>
        <w:t>: Unidades de Respuesta Inmediata</w:t>
      </w:r>
      <w:r w:rsidR="004A62D6" w:rsidRPr="00310D52">
        <w:rPr>
          <w:rFonts w:eastAsia="Calibri"/>
          <w:noProof/>
          <w:lang w:val="es-DO"/>
        </w:rPr>
        <w:t>.</w:t>
      </w:r>
    </w:p>
    <w:sectPr w:rsidR="00460952" w:rsidRPr="00310D52" w:rsidSect="000E1E4E">
      <w:pgSz w:w="12240" w:h="15840"/>
      <w:pgMar w:top="1440" w:right="2160" w:bottom="1440" w:left="21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420765" w14:textId="77777777" w:rsidR="0043568C" w:rsidRDefault="0043568C" w:rsidP="00E84651">
      <w:pPr>
        <w:spacing w:after="0" w:line="240" w:lineRule="auto"/>
      </w:pPr>
      <w:r>
        <w:separator/>
      </w:r>
    </w:p>
  </w:endnote>
  <w:endnote w:type="continuationSeparator" w:id="0">
    <w:p w14:paraId="1793689D" w14:textId="77777777" w:rsidR="0043568C" w:rsidRDefault="0043568C" w:rsidP="00E84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8864644"/>
      <w:docPartObj>
        <w:docPartGallery w:val="Page Numbers (Bottom of Page)"/>
        <w:docPartUnique/>
      </w:docPartObj>
    </w:sdtPr>
    <w:sdtEndPr>
      <w:rPr>
        <w:noProof/>
      </w:rPr>
    </w:sdtEndPr>
    <w:sdtContent>
      <w:p w14:paraId="1A9E6193" w14:textId="53F74689" w:rsidR="00425CF6" w:rsidRDefault="00425CF6">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14:paraId="5882525B" w14:textId="77777777" w:rsidR="00425CF6" w:rsidRDefault="00425CF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47965239"/>
      <w:docPartObj>
        <w:docPartGallery w:val="Page Numbers (Bottom of Page)"/>
        <w:docPartUnique/>
      </w:docPartObj>
    </w:sdtPr>
    <w:sdtEndPr>
      <w:rPr>
        <w:noProof/>
      </w:rPr>
    </w:sdtEndPr>
    <w:sdtContent>
      <w:p w14:paraId="76783BEA" w14:textId="3B2E45C0" w:rsidR="0021106F" w:rsidRDefault="007C6071" w:rsidP="0021106F">
        <w:pPr>
          <w:pStyle w:val="Piedepgina"/>
          <w:jc w:val="center"/>
        </w:pPr>
        <w:r>
          <w:rPr>
            <w:noProof/>
            <w:lang w:val="es-DO" w:eastAsia="es-DO"/>
          </w:rPr>
          <w:drawing>
            <wp:anchor distT="0" distB="0" distL="114300" distR="114300" simplePos="0" relativeHeight="251658240" behindDoc="0" locked="0" layoutInCell="1" allowOverlap="1" wp14:anchorId="54F82055" wp14:editId="6011AA1B">
              <wp:simplePos x="0" y="0"/>
              <wp:positionH relativeFrom="column">
                <wp:posOffset>1060792</wp:posOffset>
              </wp:positionH>
              <wp:positionV relativeFrom="paragraph">
                <wp:posOffset>-121920</wp:posOffset>
              </wp:positionV>
              <wp:extent cx="2995930" cy="408305"/>
              <wp:effectExtent l="0" t="0" r="0" b="0"/>
              <wp:wrapSquare wrapText="bothSides"/>
              <wp:docPr id="1848813299" name="Picture 5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5930" cy="408305"/>
                      </a:xfrm>
                      <a:prstGeom prst="rect">
                        <a:avLst/>
                      </a:prstGeom>
                      <a:noFill/>
                      <a:ln>
                        <a:noFill/>
                      </a:ln>
                    </pic:spPr>
                  </pic:pic>
                </a:graphicData>
              </a:graphic>
            </wp:anchor>
          </w:drawing>
        </w:r>
      </w:p>
      <w:p w14:paraId="139C570F" w14:textId="3C5D1A63" w:rsidR="007C6071" w:rsidRDefault="007C6071" w:rsidP="0021106F">
        <w:pPr>
          <w:pStyle w:val="Piedepgina"/>
          <w:jc w:val="center"/>
          <w:rPr>
            <w:color w:val="7F7F7F" w:themeColor="text1" w:themeTint="80"/>
          </w:rPr>
        </w:pPr>
      </w:p>
      <w:p w14:paraId="2B095E5E" w14:textId="64AB0201" w:rsidR="006E3F08" w:rsidRDefault="006E3F08" w:rsidP="00FB7EE3">
        <w:pPr>
          <w:pStyle w:val="Piedepgina"/>
          <w:jc w:val="center"/>
        </w:pPr>
        <w:r w:rsidRPr="00F74112">
          <w:rPr>
            <w:color w:val="7F7F7F" w:themeColor="text1" w:themeTint="80"/>
          </w:rPr>
          <w:fldChar w:fldCharType="begin"/>
        </w:r>
        <w:r w:rsidRPr="00F74112">
          <w:rPr>
            <w:color w:val="7F7F7F" w:themeColor="text1" w:themeTint="80"/>
          </w:rPr>
          <w:instrText xml:space="preserve"> PAGE   \* MERGEFORMAT </w:instrText>
        </w:r>
        <w:r w:rsidRPr="00F74112">
          <w:rPr>
            <w:color w:val="7F7F7F" w:themeColor="text1" w:themeTint="80"/>
          </w:rPr>
          <w:fldChar w:fldCharType="separate"/>
        </w:r>
        <w:r w:rsidR="00380EEE">
          <w:rPr>
            <w:noProof/>
            <w:color w:val="7F7F7F" w:themeColor="text1" w:themeTint="80"/>
          </w:rPr>
          <w:t>11</w:t>
        </w:r>
        <w:r w:rsidRPr="00F74112">
          <w:rPr>
            <w:noProof/>
            <w:color w:val="7F7F7F" w:themeColor="text1" w:themeTint="8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0488556"/>
      <w:docPartObj>
        <w:docPartGallery w:val="Page Numbers (Bottom of Page)"/>
        <w:docPartUnique/>
      </w:docPartObj>
    </w:sdtPr>
    <w:sdtEndPr>
      <w:rPr>
        <w:noProof/>
      </w:rPr>
    </w:sdtEndPr>
    <w:sdtContent>
      <w:p w14:paraId="3BB4ED3A" w14:textId="77777777" w:rsidR="00E165D8" w:rsidRDefault="00E165D8" w:rsidP="0021106F">
        <w:pPr>
          <w:pStyle w:val="Piedepgina"/>
          <w:jc w:val="center"/>
        </w:pPr>
        <w:r>
          <w:rPr>
            <w:noProof/>
            <w:lang w:val="es-DO" w:eastAsia="es-DO"/>
          </w:rPr>
          <w:drawing>
            <wp:anchor distT="0" distB="0" distL="114300" distR="114300" simplePos="0" relativeHeight="251660288" behindDoc="0" locked="0" layoutInCell="1" allowOverlap="1" wp14:anchorId="4A190AD3" wp14:editId="3DC12F06">
              <wp:simplePos x="0" y="0"/>
              <wp:positionH relativeFrom="column">
                <wp:posOffset>1060792</wp:posOffset>
              </wp:positionH>
              <wp:positionV relativeFrom="paragraph">
                <wp:posOffset>-121920</wp:posOffset>
              </wp:positionV>
              <wp:extent cx="2995930" cy="408305"/>
              <wp:effectExtent l="0" t="0" r="0" b="0"/>
              <wp:wrapSquare wrapText="bothSides"/>
              <wp:docPr id="1009204957" name="Picture 5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screenshot of a computer&#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95930" cy="408305"/>
                      </a:xfrm>
                      <a:prstGeom prst="rect">
                        <a:avLst/>
                      </a:prstGeom>
                      <a:noFill/>
                      <a:ln>
                        <a:noFill/>
                      </a:ln>
                    </pic:spPr>
                  </pic:pic>
                </a:graphicData>
              </a:graphic>
            </wp:anchor>
          </w:drawing>
        </w:r>
      </w:p>
      <w:p w14:paraId="26FD9AFF" w14:textId="77777777" w:rsidR="00E165D8" w:rsidRDefault="00E165D8" w:rsidP="0021106F">
        <w:pPr>
          <w:pStyle w:val="Piedepgina"/>
          <w:jc w:val="center"/>
          <w:rPr>
            <w:color w:val="7F7F7F" w:themeColor="text1" w:themeTint="80"/>
          </w:rPr>
        </w:pPr>
      </w:p>
      <w:p w14:paraId="6A2FE2B4" w14:textId="77777777" w:rsidR="00E165D8" w:rsidRDefault="00E165D8" w:rsidP="00FB7EE3">
        <w:pPr>
          <w:pStyle w:val="Piedepgina"/>
          <w:jc w:val="center"/>
        </w:pPr>
        <w:r w:rsidRPr="00F74112">
          <w:rPr>
            <w:color w:val="7F7F7F" w:themeColor="text1" w:themeTint="80"/>
          </w:rPr>
          <w:fldChar w:fldCharType="begin"/>
        </w:r>
        <w:r w:rsidRPr="00F74112">
          <w:rPr>
            <w:color w:val="7F7F7F" w:themeColor="text1" w:themeTint="80"/>
          </w:rPr>
          <w:instrText xml:space="preserve"> PAGE   \* MERGEFORMAT </w:instrText>
        </w:r>
        <w:r w:rsidRPr="00F74112">
          <w:rPr>
            <w:color w:val="7F7F7F" w:themeColor="text1" w:themeTint="80"/>
          </w:rPr>
          <w:fldChar w:fldCharType="separate"/>
        </w:r>
        <w:r>
          <w:rPr>
            <w:noProof/>
            <w:color w:val="7F7F7F" w:themeColor="text1" w:themeTint="80"/>
          </w:rPr>
          <w:t>11</w:t>
        </w:r>
        <w:r w:rsidRPr="00F74112">
          <w:rPr>
            <w:noProof/>
            <w:color w:val="7F7F7F" w:themeColor="text1" w:themeTint="8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640EB3" w14:textId="77777777" w:rsidR="0043568C" w:rsidRDefault="0043568C" w:rsidP="00E84651">
      <w:pPr>
        <w:spacing w:after="0" w:line="240" w:lineRule="auto"/>
      </w:pPr>
      <w:r>
        <w:separator/>
      </w:r>
    </w:p>
  </w:footnote>
  <w:footnote w:type="continuationSeparator" w:id="0">
    <w:p w14:paraId="39A458A9" w14:textId="77777777" w:rsidR="0043568C" w:rsidRDefault="0043568C" w:rsidP="00E846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64575" w14:textId="77777777" w:rsidR="00B56CA4" w:rsidRDefault="00B56CA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323B2"/>
    <w:multiLevelType w:val="hybridMultilevel"/>
    <w:tmpl w:val="377E61F8"/>
    <w:lvl w:ilvl="0" w:tplc="1CAE93F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467FA7"/>
    <w:multiLevelType w:val="hybridMultilevel"/>
    <w:tmpl w:val="018CC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9E6C2D"/>
    <w:multiLevelType w:val="multilevel"/>
    <w:tmpl w:val="ED84798A"/>
    <w:lvl w:ilvl="0">
      <w:start w:val="1"/>
      <w:numFmt w:val="upperRoman"/>
      <w:lvlText w:val="%1."/>
      <w:lvlJc w:val="right"/>
      <w:pPr>
        <w:ind w:left="720" w:hanging="360"/>
      </w:pPr>
    </w:lvl>
    <w:lvl w:ilvl="1">
      <w:start w:val="1"/>
      <w:numFmt w:val="lowerLetter"/>
      <w:lvlText w:val="%2)"/>
      <w:lvlJc w:val="left"/>
      <w:pPr>
        <w:ind w:left="1080" w:hanging="360"/>
      </w:p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12A20C05"/>
    <w:multiLevelType w:val="hybridMultilevel"/>
    <w:tmpl w:val="775A3B82"/>
    <w:lvl w:ilvl="0" w:tplc="04090017">
      <w:start w:val="1"/>
      <w:numFmt w:val="lowerLetter"/>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15:restartNumberingAfterBreak="0">
    <w:nsid w:val="156B5165"/>
    <w:multiLevelType w:val="hybridMultilevel"/>
    <w:tmpl w:val="897E4994"/>
    <w:lvl w:ilvl="0" w:tplc="04090001">
      <w:start w:val="1"/>
      <w:numFmt w:val="bullet"/>
      <w:lvlText w:val=""/>
      <w:lvlJc w:val="left"/>
      <w:pPr>
        <w:ind w:left="720" w:hanging="360"/>
      </w:pPr>
      <w:rPr>
        <w:rFonts w:ascii="Symbol" w:hAnsi="Symbol" w:hint="default"/>
      </w:rPr>
    </w:lvl>
    <w:lvl w:ilvl="1" w:tplc="2AA0AC82">
      <w:numFmt w:val="bullet"/>
      <w:lvlText w:val="•"/>
      <w:lvlJc w:val="left"/>
      <w:pPr>
        <w:ind w:left="1800" w:hanging="72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92DBA"/>
    <w:multiLevelType w:val="hybridMultilevel"/>
    <w:tmpl w:val="D8CEF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5365F3"/>
    <w:multiLevelType w:val="hybridMultilevel"/>
    <w:tmpl w:val="F4CA7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766043"/>
    <w:multiLevelType w:val="hybridMultilevel"/>
    <w:tmpl w:val="8D104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F11E32"/>
    <w:multiLevelType w:val="hybridMultilevel"/>
    <w:tmpl w:val="173813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DD3548"/>
    <w:multiLevelType w:val="multilevel"/>
    <w:tmpl w:val="F6C6A9A2"/>
    <w:lvl w:ilvl="0">
      <w:start w:val="1"/>
      <w:numFmt w:val="upperRoman"/>
      <w:lvlText w:val="%1."/>
      <w:lvlJc w:val="right"/>
      <w:pPr>
        <w:ind w:left="720" w:hanging="360"/>
      </w:p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10" w15:restartNumberingAfterBreak="0">
    <w:nsid w:val="2968363C"/>
    <w:multiLevelType w:val="hybridMultilevel"/>
    <w:tmpl w:val="AAAC3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44B4C"/>
    <w:multiLevelType w:val="hybridMultilevel"/>
    <w:tmpl w:val="DC2C1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CA1227"/>
    <w:multiLevelType w:val="hybridMultilevel"/>
    <w:tmpl w:val="44E0C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7C3B87"/>
    <w:multiLevelType w:val="hybridMultilevel"/>
    <w:tmpl w:val="FF32BD1A"/>
    <w:lvl w:ilvl="0" w:tplc="593CEF08">
      <w:start w:val="1"/>
      <w:numFmt w:val="lowerLetter"/>
      <w:lvlText w:val="%1)"/>
      <w:lvlJc w:val="left"/>
      <w:pPr>
        <w:ind w:left="450" w:hanging="360"/>
      </w:pPr>
      <w:rPr>
        <w:rFonts w:hint="default"/>
      </w:rPr>
    </w:lvl>
    <w:lvl w:ilvl="1" w:tplc="37BA4450">
      <w:numFmt w:val="bullet"/>
      <w:lvlText w:val="•"/>
      <w:lvlJc w:val="left"/>
      <w:pPr>
        <w:ind w:left="1530" w:hanging="720"/>
      </w:pPr>
      <w:rPr>
        <w:rFonts w:ascii="Times New Roman" w:eastAsiaTheme="minorHAnsi" w:hAnsi="Times New Roman" w:cs="Times New Roman" w:hint="default"/>
      </w:r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15:restartNumberingAfterBreak="0">
    <w:nsid w:val="3A713437"/>
    <w:multiLevelType w:val="hybridMultilevel"/>
    <w:tmpl w:val="E58CCB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8A61B0"/>
    <w:multiLevelType w:val="multilevel"/>
    <w:tmpl w:val="BCEC3050"/>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40A4267C"/>
    <w:multiLevelType w:val="hybridMultilevel"/>
    <w:tmpl w:val="201C1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9107F1"/>
    <w:multiLevelType w:val="hybridMultilevel"/>
    <w:tmpl w:val="C97084E6"/>
    <w:lvl w:ilvl="0" w:tplc="3DBA7E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AC22695"/>
    <w:multiLevelType w:val="hybridMultilevel"/>
    <w:tmpl w:val="C87CE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D70641"/>
    <w:multiLevelType w:val="hybridMultilevel"/>
    <w:tmpl w:val="4A840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6D5704"/>
    <w:multiLevelType w:val="hybridMultilevel"/>
    <w:tmpl w:val="02607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63E5C3E"/>
    <w:multiLevelType w:val="hybridMultilevel"/>
    <w:tmpl w:val="FADE9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8B4453"/>
    <w:multiLevelType w:val="hybridMultilevel"/>
    <w:tmpl w:val="D2627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917455"/>
    <w:multiLevelType w:val="hybridMultilevel"/>
    <w:tmpl w:val="873EE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2713B1"/>
    <w:multiLevelType w:val="hybridMultilevel"/>
    <w:tmpl w:val="421A6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FA3EB1"/>
    <w:multiLevelType w:val="hybridMultilevel"/>
    <w:tmpl w:val="C97084E6"/>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6B4B6B48"/>
    <w:multiLevelType w:val="hybridMultilevel"/>
    <w:tmpl w:val="4588E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642023"/>
    <w:multiLevelType w:val="hybridMultilevel"/>
    <w:tmpl w:val="50B4699A"/>
    <w:lvl w:ilvl="0" w:tplc="5328A8DA">
      <w:start w:val="1"/>
      <w:numFmt w:val="lowerLetter"/>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8" w15:restartNumberingAfterBreak="0">
    <w:nsid w:val="6F8F07E8"/>
    <w:multiLevelType w:val="hybridMultilevel"/>
    <w:tmpl w:val="ED7AED4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A81FD5"/>
    <w:multiLevelType w:val="hybridMultilevel"/>
    <w:tmpl w:val="D964533C"/>
    <w:lvl w:ilvl="0" w:tplc="04090001">
      <w:start w:val="1"/>
      <w:numFmt w:val="bullet"/>
      <w:lvlText w:val=""/>
      <w:lvlJc w:val="left"/>
      <w:pPr>
        <w:ind w:left="720" w:hanging="360"/>
      </w:pPr>
      <w:rPr>
        <w:rFonts w:ascii="Symbol" w:hAnsi="Symbol" w:hint="default"/>
      </w:rPr>
    </w:lvl>
    <w:lvl w:ilvl="1" w:tplc="1EA62520">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3E7562"/>
    <w:multiLevelType w:val="hybridMultilevel"/>
    <w:tmpl w:val="ECC87D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704DDF"/>
    <w:multiLevelType w:val="hybridMultilevel"/>
    <w:tmpl w:val="5F688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A12A96"/>
    <w:multiLevelType w:val="multilevel"/>
    <w:tmpl w:val="A998CABE"/>
    <w:lvl w:ilvl="0">
      <w:start w:val="1"/>
      <w:numFmt w:val="upperRoman"/>
      <w:lvlText w:val="%1."/>
      <w:lvlJc w:val="right"/>
      <w:pPr>
        <w:ind w:left="720" w:hanging="360"/>
      </w:pPr>
    </w:lvl>
    <w:lvl w:ilvl="1">
      <w:start w:val="1"/>
      <w:numFmt w:val="decimal"/>
      <w:isLgl/>
      <w:lvlText w:val="%1.%2"/>
      <w:lvlJc w:val="left"/>
      <w:pPr>
        <w:ind w:left="735" w:hanging="375"/>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16cid:durableId="697044571">
    <w:abstractNumId w:val="32"/>
  </w:num>
  <w:num w:numId="2" w16cid:durableId="224804192">
    <w:abstractNumId w:val="9"/>
  </w:num>
  <w:num w:numId="3" w16cid:durableId="382220998">
    <w:abstractNumId w:val="1"/>
  </w:num>
  <w:num w:numId="4" w16cid:durableId="1038119339">
    <w:abstractNumId w:val="28"/>
  </w:num>
  <w:num w:numId="5" w16cid:durableId="102463824">
    <w:abstractNumId w:val="18"/>
  </w:num>
  <w:num w:numId="6" w16cid:durableId="2030374745">
    <w:abstractNumId w:val="29"/>
  </w:num>
  <w:num w:numId="7" w16cid:durableId="1325862449">
    <w:abstractNumId w:val="8"/>
  </w:num>
  <w:num w:numId="8" w16cid:durableId="615721122">
    <w:abstractNumId w:val="0"/>
  </w:num>
  <w:num w:numId="9" w16cid:durableId="1187982410">
    <w:abstractNumId w:val="3"/>
  </w:num>
  <w:num w:numId="10" w16cid:durableId="1834955792">
    <w:abstractNumId w:val="15"/>
  </w:num>
  <w:num w:numId="11" w16cid:durableId="1303190681">
    <w:abstractNumId w:val="20"/>
  </w:num>
  <w:num w:numId="12" w16cid:durableId="431365247">
    <w:abstractNumId w:val="24"/>
  </w:num>
  <w:num w:numId="13" w16cid:durableId="412969579">
    <w:abstractNumId w:val="26"/>
  </w:num>
  <w:num w:numId="14" w16cid:durableId="295179842">
    <w:abstractNumId w:val="7"/>
  </w:num>
  <w:num w:numId="15" w16cid:durableId="1576625449">
    <w:abstractNumId w:val="4"/>
  </w:num>
  <w:num w:numId="16" w16cid:durableId="1009676528">
    <w:abstractNumId w:val="30"/>
  </w:num>
  <w:num w:numId="17" w16cid:durableId="14308155">
    <w:abstractNumId w:val="2"/>
  </w:num>
  <w:num w:numId="18" w16cid:durableId="772432599">
    <w:abstractNumId w:val="13"/>
  </w:num>
  <w:num w:numId="19" w16cid:durableId="2111046936">
    <w:abstractNumId w:val="10"/>
  </w:num>
  <w:num w:numId="20" w16cid:durableId="1758476717">
    <w:abstractNumId w:val="22"/>
  </w:num>
  <w:num w:numId="21" w16cid:durableId="757941086">
    <w:abstractNumId w:val="14"/>
  </w:num>
  <w:num w:numId="22" w16cid:durableId="845022409">
    <w:abstractNumId w:val="16"/>
  </w:num>
  <w:num w:numId="23" w16cid:durableId="1713072450">
    <w:abstractNumId w:val="21"/>
  </w:num>
  <w:num w:numId="24" w16cid:durableId="348799701">
    <w:abstractNumId w:val="12"/>
  </w:num>
  <w:num w:numId="25" w16cid:durableId="1072388076">
    <w:abstractNumId w:val="11"/>
  </w:num>
  <w:num w:numId="26" w16cid:durableId="1394355698">
    <w:abstractNumId w:val="31"/>
  </w:num>
  <w:num w:numId="27" w16cid:durableId="1054046134">
    <w:abstractNumId w:val="19"/>
  </w:num>
  <w:num w:numId="28" w16cid:durableId="1145050143">
    <w:abstractNumId w:val="5"/>
  </w:num>
  <w:num w:numId="29" w16cid:durableId="583956748">
    <w:abstractNumId w:val="6"/>
  </w:num>
  <w:num w:numId="30" w16cid:durableId="781150368">
    <w:abstractNumId w:val="17"/>
  </w:num>
  <w:num w:numId="31" w16cid:durableId="1256860355">
    <w:abstractNumId w:val="27"/>
  </w:num>
  <w:num w:numId="32" w16cid:durableId="1351177279">
    <w:abstractNumId w:val="25"/>
  </w:num>
  <w:num w:numId="33" w16cid:durableId="142044159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F4E"/>
    <w:rsid w:val="00032423"/>
    <w:rsid w:val="000337AF"/>
    <w:rsid w:val="0003754F"/>
    <w:rsid w:val="00043D73"/>
    <w:rsid w:val="00044962"/>
    <w:rsid w:val="0005527B"/>
    <w:rsid w:val="0007427A"/>
    <w:rsid w:val="00074F31"/>
    <w:rsid w:val="000960E2"/>
    <w:rsid w:val="000E1E4E"/>
    <w:rsid w:val="000F38E8"/>
    <w:rsid w:val="00103C33"/>
    <w:rsid w:val="00105ABD"/>
    <w:rsid w:val="001075A7"/>
    <w:rsid w:val="00114F2A"/>
    <w:rsid w:val="001240D0"/>
    <w:rsid w:val="00125D46"/>
    <w:rsid w:val="00130158"/>
    <w:rsid w:val="001441F3"/>
    <w:rsid w:val="00166020"/>
    <w:rsid w:val="0017712E"/>
    <w:rsid w:val="00177191"/>
    <w:rsid w:val="0018699B"/>
    <w:rsid w:val="001935B1"/>
    <w:rsid w:val="0019602B"/>
    <w:rsid w:val="001A60AA"/>
    <w:rsid w:val="001B64C5"/>
    <w:rsid w:val="001D52D6"/>
    <w:rsid w:val="001D608D"/>
    <w:rsid w:val="001E07B9"/>
    <w:rsid w:val="001F160D"/>
    <w:rsid w:val="00200B6E"/>
    <w:rsid w:val="00204ADB"/>
    <w:rsid w:val="0021106F"/>
    <w:rsid w:val="00211E35"/>
    <w:rsid w:val="0021331F"/>
    <w:rsid w:val="00225C91"/>
    <w:rsid w:val="00233626"/>
    <w:rsid w:val="00243FED"/>
    <w:rsid w:val="0025779C"/>
    <w:rsid w:val="00265A48"/>
    <w:rsid w:val="00271134"/>
    <w:rsid w:val="00275786"/>
    <w:rsid w:val="002B4451"/>
    <w:rsid w:val="002B5F66"/>
    <w:rsid w:val="002B61DF"/>
    <w:rsid w:val="002C2566"/>
    <w:rsid w:val="002C4A36"/>
    <w:rsid w:val="002D0776"/>
    <w:rsid w:val="002E0ED0"/>
    <w:rsid w:val="002F2305"/>
    <w:rsid w:val="002F277C"/>
    <w:rsid w:val="00301DBD"/>
    <w:rsid w:val="00310D52"/>
    <w:rsid w:val="003133C2"/>
    <w:rsid w:val="003302B8"/>
    <w:rsid w:val="00330BBF"/>
    <w:rsid w:val="003310D1"/>
    <w:rsid w:val="00341A6A"/>
    <w:rsid w:val="0034224F"/>
    <w:rsid w:val="003427E3"/>
    <w:rsid w:val="0035429F"/>
    <w:rsid w:val="00355FE2"/>
    <w:rsid w:val="0035673A"/>
    <w:rsid w:val="00361AFD"/>
    <w:rsid w:val="00380E47"/>
    <w:rsid w:val="00380E7E"/>
    <w:rsid w:val="00380EEE"/>
    <w:rsid w:val="003848BB"/>
    <w:rsid w:val="003B15A3"/>
    <w:rsid w:val="003B2462"/>
    <w:rsid w:val="003C641F"/>
    <w:rsid w:val="003D28FB"/>
    <w:rsid w:val="003D6E9C"/>
    <w:rsid w:val="003E00B8"/>
    <w:rsid w:val="003E092F"/>
    <w:rsid w:val="003E7C79"/>
    <w:rsid w:val="003E7EAF"/>
    <w:rsid w:val="003F6D7B"/>
    <w:rsid w:val="00402B2C"/>
    <w:rsid w:val="00404843"/>
    <w:rsid w:val="004126E1"/>
    <w:rsid w:val="004218D4"/>
    <w:rsid w:val="00425CF6"/>
    <w:rsid w:val="004263F5"/>
    <w:rsid w:val="00434602"/>
    <w:rsid w:val="0043568C"/>
    <w:rsid w:val="0043570D"/>
    <w:rsid w:val="0044106A"/>
    <w:rsid w:val="00443BFC"/>
    <w:rsid w:val="004510BC"/>
    <w:rsid w:val="004515D7"/>
    <w:rsid w:val="00457553"/>
    <w:rsid w:val="00460952"/>
    <w:rsid w:val="00460CDF"/>
    <w:rsid w:val="00463A18"/>
    <w:rsid w:val="0046718F"/>
    <w:rsid w:val="004671B7"/>
    <w:rsid w:val="00467EB5"/>
    <w:rsid w:val="00474BFE"/>
    <w:rsid w:val="00485B71"/>
    <w:rsid w:val="004A515E"/>
    <w:rsid w:val="004A62D6"/>
    <w:rsid w:val="004B088B"/>
    <w:rsid w:val="004B7FB2"/>
    <w:rsid w:val="004D6EA1"/>
    <w:rsid w:val="004E07DA"/>
    <w:rsid w:val="004E68B8"/>
    <w:rsid w:val="004F2DD5"/>
    <w:rsid w:val="00501C29"/>
    <w:rsid w:val="00504883"/>
    <w:rsid w:val="0051332F"/>
    <w:rsid w:val="005219FE"/>
    <w:rsid w:val="005273D1"/>
    <w:rsid w:val="0053732E"/>
    <w:rsid w:val="00540854"/>
    <w:rsid w:val="005421D6"/>
    <w:rsid w:val="00544419"/>
    <w:rsid w:val="00545797"/>
    <w:rsid w:val="00552DDE"/>
    <w:rsid w:val="00572D53"/>
    <w:rsid w:val="005805BA"/>
    <w:rsid w:val="005824A8"/>
    <w:rsid w:val="0058331C"/>
    <w:rsid w:val="0059591D"/>
    <w:rsid w:val="00595CEA"/>
    <w:rsid w:val="005A44A8"/>
    <w:rsid w:val="005B1419"/>
    <w:rsid w:val="005B1AED"/>
    <w:rsid w:val="005B472D"/>
    <w:rsid w:val="005B53BC"/>
    <w:rsid w:val="005C3D4D"/>
    <w:rsid w:val="005C548C"/>
    <w:rsid w:val="005C7C38"/>
    <w:rsid w:val="005D7B73"/>
    <w:rsid w:val="005E1340"/>
    <w:rsid w:val="005E1808"/>
    <w:rsid w:val="005F0554"/>
    <w:rsid w:val="005F72E4"/>
    <w:rsid w:val="0061095C"/>
    <w:rsid w:val="006144F5"/>
    <w:rsid w:val="0061460E"/>
    <w:rsid w:val="0061603D"/>
    <w:rsid w:val="006160B6"/>
    <w:rsid w:val="00631F6E"/>
    <w:rsid w:val="00644BF9"/>
    <w:rsid w:val="00644E29"/>
    <w:rsid w:val="00647D23"/>
    <w:rsid w:val="00654164"/>
    <w:rsid w:val="00654EFA"/>
    <w:rsid w:val="0065508E"/>
    <w:rsid w:val="0066103B"/>
    <w:rsid w:val="00665893"/>
    <w:rsid w:val="00675ED4"/>
    <w:rsid w:val="006854D2"/>
    <w:rsid w:val="00685A44"/>
    <w:rsid w:val="00695622"/>
    <w:rsid w:val="006B3D70"/>
    <w:rsid w:val="006B5802"/>
    <w:rsid w:val="006C7155"/>
    <w:rsid w:val="006D0B72"/>
    <w:rsid w:val="006D4D90"/>
    <w:rsid w:val="006D51B6"/>
    <w:rsid w:val="006E3F08"/>
    <w:rsid w:val="007014C7"/>
    <w:rsid w:val="007061AC"/>
    <w:rsid w:val="00714196"/>
    <w:rsid w:val="007471AC"/>
    <w:rsid w:val="00754FEB"/>
    <w:rsid w:val="00756335"/>
    <w:rsid w:val="007762DA"/>
    <w:rsid w:val="00781A65"/>
    <w:rsid w:val="00785E66"/>
    <w:rsid w:val="00786438"/>
    <w:rsid w:val="00786C60"/>
    <w:rsid w:val="00786C96"/>
    <w:rsid w:val="00790008"/>
    <w:rsid w:val="00795A16"/>
    <w:rsid w:val="00796C22"/>
    <w:rsid w:val="007A267B"/>
    <w:rsid w:val="007A3FF6"/>
    <w:rsid w:val="007C0E4F"/>
    <w:rsid w:val="007C6071"/>
    <w:rsid w:val="00815082"/>
    <w:rsid w:val="00821358"/>
    <w:rsid w:val="00827616"/>
    <w:rsid w:val="008358E8"/>
    <w:rsid w:val="00851FA4"/>
    <w:rsid w:val="00860389"/>
    <w:rsid w:val="008653B3"/>
    <w:rsid w:val="00870AD0"/>
    <w:rsid w:val="0087772C"/>
    <w:rsid w:val="00881874"/>
    <w:rsid w:val="0089273D"/>
    <w:rsid w:val="00896841"/>
    <w:rsid w:val="008A01B9"/>
    <w:rsid w:val="008B09FC"/>
    <w:rsid w:val="008B458A"/>
    <w:rsid w:val="008C22C6"/>
    <w:rsid w:val="008D7F4E"/>
    <w:rsid w:val="009000C6"/>
    <w:rsid w:val="00920A80"/>
    <w:rsid w:val="00924CA5"/>
    <w:rsid w:val="00927DBC"/>
    <w:rsid w:val="00935A73"/>
    <w:rsid w:val="0095071A"/>
    <w:rsid w:val="00951F9A"/>
    <w:rsid w:val="009547F0"/>
    <w:rsid w:val="009558E4"/>
    <w:rsid w:val="0096115E"/>
    <w:rsid w:val="00967739"/>
    <w:rsid w:val="0097291D"/>
    <w:rsid w:val="009870D7"/>
    <w:rsid w:val="0098786B"/>
    <w:rsid w:val="009904DB"/>
    <w:rsid w:val="00993F0B"/>
    <w:rsid w:val="00995128"/>
    <w:rsid w:val="00996181"/>
    <w:rsid w:val="009A466A"/>
    <w:rsid w:val="009B239B"/>
    <w:rsid w:val="009B7AB1"/>
    <w:rsid w:val="009C655C"/>
    <w:rsid w:val="009D1C47"/>
    <w:rsid w:val="009E6945"/>
    <w:rsid w:val="009F3509"/>
    <w:rsid w:val="009F3D54"/>
    <w:rsid w:val="00A009ED"/>
    <w:rsid w:val="00A04B5B"/>
    <w:rsid w:val="00A0618E"/>
    <w:rsid w:val="00A16B8C"/>
    <w:rsid w:val="00A30489"/>
    <w:rsid w:val="00A36629"/>
    <w:rsid w:val="00A44089"/>
    <w:rsid w:val="00A52ABC"/>
    <w:rsid w:val="00A55E73"/>
    <w:rsid w:val="00A623FD"/>
    <w:rsid w:val="00A630BC"/>
    <w:rsid w:val="00A63A00"/>
    <w:rsid w:val="00A72627"/>
    <w:rsid w:val="00AA606B"/>
    <w:rsid w:val="00AB26E6"/>
    <w:rsid w:val="00AB7AA1"/>
    <w:rsid w:val="00AC7FA6"/>
    <w:rsid w:val="00AD127A"/>
    <w:rsid w:val="00AD6032"/>
    <w:rsid w:val="00AE711E"/>
    <w:rsid w:val="00AF6ADF"/>
    <w:rsid w:val="00B16EF5"/>
    <w:rsid w:val="00B224A9"/>
    <w:rsid w:val="00B24E6C"/>
    <w:rsid w:val="00B33830"/>
    <w:rsid w:val="00B41770"/>
    <w:rsid w:val="00B45B38"/>
    <w:rsid w:val="00B56CA4"/>
    <w:rsid w:val="00B7531B"/>
    <w:rsid w:val="00B855FE"/>
    <w:rsid w:val="00B92191"/>
    <w:rsid w:val="00B943F3"/>
    <w:rsid w:val="00B960F8"/>
    <w:rsid w:val="00BA1634"/>
    <w:rsid w:val="00BA2267"/>
    <w:rsid w:val="00BA2A5A"/>
    <w:rsid w:val="00BA56DF"/>
    <w:rsid w:val="00BA6390"/>
    <w:rsid w:val="00BB7662"/>
    <w:rsid w:val="00BB7CE7"/>
    <w:rsid w:val="00BD0DA6"/>
    <w:rsid w:val="00BD6578"/>
    <w:rsid w:val="00BE2A5C"/>
    <w:rsid w:val="00BE2AB6"/>
    <w:rsid w:val="00BE3668"/>
    <w:rsid w:val="00BE44FB"/>
    <w:rsid w:val="00BF2CBD"/>
    <w:rsid w:val="00C0123A"/>
    <w:rsid w:val="00C02322"/>
    <w:rsid w:val="00C10543"/>
    <w:rsid w:val="00C16C52"/>
    <w:rsid w:val="00C21BBC"/>
    <w:rsid w:val="00C336E5"/>
    <w:rsid w:val="00C37700"/>
    <w:rsid w:val="00C46E6A"/>
    <w:rsid w:val="00C4768C"/>
    <w:rsid w:val="00C64CEF"/>
    <w:rsid w:val="00C666EC"/>
    <w:rsid w:val="00C7392F"/>
    <w:rsid w:val="00C8745C"/>
    <w:rsid w:val="00C92BF6"/>
    <w:rsid w:val="00CA20FF"/>
    <w:rsid w:val="00CA4CED"/>
    <w:rsid w:val="00CA6ABE"/>
    <w:rsid w:val="00CD0F92"/>
    <w:rsid w:val="00CD2D1C"/>
    <w:rsid w:val="00CD5BDF"/>
    <w:rsid w:val="00CD73A3"/>
    <w:rsid w:val="00CD7643"/>
    <w:rsid w:val="00CE0391"/>
    <w:rsid w:val="00CE0CFF"/>
    <w:rsid w:val="00CF6658"/>
    <w:rsid w:val="00D0435C"/>
    <w:rsid w:val="00D068A9"/>
    <w:rsid w:val="00D14D8B"/>
    <w:rsid w:val="00D16900"/>
    <w:rsid w:val="00D16EE8"/>
    <w:rsid w:val="00D2018B"/>
    <w:rsid w:val="00D21195"/>
    <w:rsid w:val="00D223FD"/>
    <w:rsid w:val="00D22567"/>
    <w:rsid w:val="00D23481"/>
    <w:rsid w:val="00D3227A"/>
    <w:rsid w:val="00D42ACE"/>
    <w:rsid w:val="00D4456C"/>
    <w:rsid w:val="00D53BB6"/>
    <w:rsid w:val="00D66C75"/>
    <w:rsid w:val="00D72826"/>
    <w:rsid w:val="00D744ED"/>
    <w:rsid w:val="00D75115"/>
    <w:rsid w:val="00D80041"/>
    <w:rsid w:val="00D87769"/>
    <w:rsid w:val="00D942C2"/>
    <w:rsid w:val="00D96EB7"/>
    <w:rsid w:val="00DA0BD4"/>
    <w:rsid w:val="00DA3488"/>
    <w:rsid w:val="00DA4D3F"/>
    <w:rsid w:val="00DB0BED"/>
    <w:rsid w:val="00DB12AA"/>
    <w:rsid w:val="00DC476D"/>
    <w:rsid w:val="00DF0B54"/>
    <w:rsid w:val="00E0379E"/>
    <w:rsid w:val="00E12DDE"/>
    <w:rsid w:val="00E14734"/>
    <w:rsid w:val="00E165D8"/>
    <w:rsid w:val="00E32842"/>
    <w:rsid w:val="00E334A5"/>
    <w:rsid w:val="00E41CDF"/>
    <w:rsid w:val="00E45AA9"/>
    <w:rsid w:val="00E51BBA"/>
    <w:rsid w:val="00E66418"/>
    <w:rsid w:val="00E739F8"/>
    <w:rsid w:val="00E77C13"/>
    <w:rsid w:val="00E80BF2"/>
    <w:rsid w:val="00E84651"/>
    <w:rsid w:val="00E952A5"/>
    <w:rsid w:val="00EA7793"/>
    <w:rsid w:val="00EC331E"/>
    <w:rsid w:val="00ED2048"/>
    <w:rsid w:val="00EE61E1"/>
    <w:rsid w:val="00EF18C4"/>
    <w:rsid w:val="00F01F85"/>
    <w:rsid w:val="00F06D9C"/>
    <w:rsid w:val="00F177DE"/>
    <w:rsid w:val="00F21DBA"/>
    <w:rsid w:val="00F23DCD"/>
    <w:rsid w:val="00F2744E"/>
    <w:rsid w:val="00F30ADF"/>
    <w:rsid w:val="00F36012"/>
    <w:rsid w:val="00F361A9"/>
    <w:rsid w:val="00F51498"/>
    <w:rsid w:val="00F54C80"/>
    <w:rsid w:val="00F56299"/>
    <w:rsid w:val="00F74112"/>
    <w:rsid w:val="00F75DF1"/>
    <w:rsid w:val="00F94808"/>
    <w:rsid w:val="00FA32FD"/>
    <w:rsid w:val="00FB03B0"/>
    <w:rsid w:val="00FB7EE3"/>
    <w:rsid w:val="00FE4589"/>
    <w:rsid w:val="00FF088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2ED340"/>
  <w15:chartTrackingRefBased/>
  <w15:docId w15:val="{E7F5F212-B1EA-4FE1-81F3-D2FDE1F6C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767171"/>
        <w:spacing w:val="20"/>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F4E"/>
  </w:style>
  <w:style w:type="paragraph" w:styleId="Ttulo1">
    <w:name w:val="heading 1"/>
    <w:basedOn w:val="Normal"/>
    <w:next w:val="Normal"/>
    <w:link w:val="Ttulo1Car"/>
    <w:uiPriority w:val="9"/>
    <w:qFormat/>
    <w:rsid w:val="00654164"/>
    <w:pPr>
      <w:keepNext/>
      <w:keepLines/>
      <w:spacing w:before="240" w:after="0" w:line="360" w:lineRule="auto"/>
      <w:jc w:val="center"/>
      <w:outlineLvl w:val="0"/>
    </w:pPr>
    <w:rPr>
      <w:rFonts w:eastAsiaTheme="majorEastAsia" w:cstheme="majorBidi"/>
      <w:b/>
      <w:color w:val="767171" w:themeColor="background2" w:themeShade="80"/>
      <w:sz w:val="28"/>
      <w:szCs w:val="32"/>
    </w:rPr>
  </w:style>
  <w:style w:type="paragraph" w:styleId="Ttulo2">
    <w:name w:val="heading 2"/>
    <w:basedOn w:val="Normal"/>
    <w:next w:val="Normal"/>
    <w:link w:val="Ttulo2Car"/>
    <w:uiPriority w:val="9"/>
    <w:semiHidden/>
    <w:unhideWhenUsed/>
    <w:qFormat/>
    <w:rsid w:val="00A630BC"/>
    <w:pPr>
      <w:keepNext/>
      <w:keepLines/>
      <w:spacing w:before="40" w:after="0"/>
      <w:outlineLvl w:val="1"/>
    </w:pPr>
    <w:rPr>
      <w:rFonts w:eastAsiaTheme="majorEastAsia" w:cstheme="majorBidi"/>
      <w:color w:val="595959" w:themeColor="text1" w:themeTint="A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465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84651"/>
  </w:style>
  <w:style w:type="paragraph" w:styleId="Piedepgina">
    <w:name w:val="footer"/>
    <w:basedOn w:val="Normal"/>
    <w:link w:val="PiedepginaCar"/>
    <w:uiPriority w:val="99"/>
    <w:unhideWhenUsed/>
    <w:rsid w:val="00E8465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84651"/>
  </w:style>
  <w:style w:type="paragraph" w:styleId="Sinespaciado">
    <w:name w:val="No Spacing"/>
    <w:uiPriority w:val="1"/>
    <w:qFormat/>
    <w:rsid w:val="005273D1"/>
    <w:pPr>
      <w:spacing w:after="0" w:line="240" w:lineRule="auto"/>
    </w:pPr>
    <w:rPr>
      <w:rFonts w:eastAsia="Calibri"/>
      <w:color w:val="595959" w:themeColor="text1" w:themeTint="A6"/>
    </w:rPr>
  </w:style>
  <w:style w:type="character" w:customStyle="1" w:styleId="Ttulo1Car">
    <w:name w:val="Título 1 Car"/>
    <w:basedOn w:val="Fuentedeprrafopredeter"/>
    <w:link w:val="Ttulo1"/>
    <w:uiPriority w:val="9"/>
    <w:rsid w:val="00654164"/>
    <w:rPr>
      <w:rFonts w:ascii="Times New Roman" w:eastAsiaTheme="majorEastAsia" w:hAnsi="Times New Roman" w:cstheme="majorBidi"/>
      <w:b/>
      <w:color w:val="767171" w:themeColor="background2" w:themeShade="80"/>
      <w:sz w:val="28"/>
      <w:szCs w:val="32"/>
    </w:rPr>
  </w:style>
  <w:style w:type="paragraph" w:styleId="TtuloTDC">
    <w:name w:val="TOC Heading"/>
    <w:basedOn w:val="Ttulo1"/>
    <w:next w:val="Normal"/>
    <w:uiPriority w:val="39"/>
    <w:unhideWhenUsed/>
    <w:qFormat/>
    <w:rsid w:val="00BA2267"/>
    <w:pPr>
      <w:spacing w:line="259" w:lineRule="auto"/>
      <w:jc w:val="left"/>
      <w:outlineLvl w:val="9"/>
    </w:pPr>
    <w:rPr>
      <w:rFonts w:asciiTheme="majorHAnsi" w:hAnsiTheme="majorHAnsi"/>
      <w:b w:val="0"/>
      <w:color w:val="2F5496" w:themeColor="accent1" w:themeShade="BF"/>
      <w:sz w:val="32"/>
    </w:rPr>
  </w:style>
  <w:style w:type="paragraph" w:styleId="TDC1">
    <w:name w:val="toc 1"/>
    <w:basedOn w:val="Normal"/>
    <w:next w:val="Normal"/>
    <w:autoRedefine/>
    <w:uiPriority w:val="39"/>
    <w:unhideWhenUsed/>
    <w:rsid w:val="00BA2267"/>
    <w:pPr>
      <w:spacing w:after="100"/>
    </w:pPr>
  </w:style>
  <w:style w:type="character" w:styleId="Hipervnculo">
    <w:name w:val="Hyperlink"/>
    <w:basedOn w:val="Fuentedeprrafopredeter"/>
    <w:uiPriority w:val="99"/>
    <w:unhideWhenUsed/>
    <w:rsid w:val="00BA2267"/>
    <w:rPr>
      <w:color w:val="0563C1" w:themeColor="hyperlink"/>
      <w:u w:val="single"/>
    </w:rPr>
  </w:style>
  <w:style w:type="character" w:customStyle="1" w:styleId="Ttulo2Car">
    <w:name w:val="Título 2 Car"/>
    <w:basedOn w:val="Fuentedeprrafopredeter"/>
    <w:link w:val="Ttulo2"/>
    <w:uiPriority w:val="9"/>
    <w:semiHidden/>
    <w:rsid w:val="00A630BC"/>
    <w:rPr>
      <w:rFonts w:eastAsiaTheme="majorEastAsia" w:cstheme="majorBidi"/>
      <w:color w:val="595959" w:themeColor="text1" w:themeTint="A6"/>
      <w:szCs w:val="26"/>
    </w:rPr>
  </w:style>
  <w:style w:type="paragraph" w:styleId="Prrafodelista">
    <w:name w:val="List Paragraph"/>
    <w:basedOn w:val="Normal"/>
    <w:uiPriority w:val="34"/>
    <w:qFormat/>
    <w:rsid w:val="00AB7AA1"/>
    <w:pPr>
      <w:ind w:left="720"/>
      <w:contextualSpacing/>
    </w:pPr>
  </w:style>
  <w:style w:type="table" w:styleId="Tablaconcuadrcula">
    <w:name w:val="Table Grid"/>
    <w:basedOn w:val="Tablanormal"/>
    <w:uiPriority w:val="39"/>
    <w:rsid w:val="001301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basedOn w:val="Normal"/>
    <w:next w:val="Normal"/>
    <w:uiPriority w:val="35"/>
    <w:semiHidden/>
    <w:unhideWhenUsed/>
    <w:qFormat/>
    <w:rsid w:val="00F75DF1"/>
    <w:pPr>
      <w:spacing w:after="200" w:line="240" w:lineRule="auto"/>
    </w:pPr>
    <w:rPr>
      <w:i/>
      <w:iCs/>
      <w:color w:val="44546A" w:themeColor="text2"/>
      <w:sz w:val="18"/>
      <w:szCs w:val="18"/>
    </w:rPr>
  </w:style>
  <w:style w:type="paragraph" w:styleId="NormalWeb">
    <w:name w:val="Normal (Web)"/>
    <w:basedOn w:val="Normal"/>
    <w:uiPriority w:val="99"/>
    <w:semiHidden/>
    <w:unhideWhenUsed/>
    <w:rsid w:val="008653B3"/>
  </w:style>
  <w:style w:type="paragraph" w:customStyle="1" w:styleId="xxmsonormal">
    <w:name w:val="x_x_msonormal"/>
    <w:basedOn w:val="Normal"/>
    <w:rsid w:val="004263F5"/>
    <w:pPr>
      <w:spacing w:after="0" w:line="240" w:lineRule="auto"/>
    </w:pPr>
    <w:rPr>
      <w:rFonts w:ascii="Calibri" w:hAnsi="Calibri" w:cs="Calibri"/>
      <w:color w:val="auto"/>
      <w:spacing w:val="0"/>
      <w:sz w:val="22"/>
      <w:szCs w:val="22"/>
      <w:lang w:val="es-DO" w:eastAsia="es-D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903524">
      <w:bodyDiv w:val="1"/>
      <w:marLeft w:val="0"/>
      <w:marRight w:val="0"/>
      <w:marTop w:val="0"/>
      <w:marBottom w:val="0"/>
      <w:divBdr>
        <w:top w:val="none" w:sz="0" w:space="0" w:color="auto"/>
        <w:left w:val="none" w:sz="0" w:space="0" w:color="auto"/>
        <w:bottom w:val="none" w:sz="0" w:space="0" w:color="auto"/>
        <w:right w:val="none" w:sz="0" w:space="0" w:color="auto"/>
      </w:divBdr>
    </w:div>
    <w:div w:id="178811163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6.emf"/><Relationship Id="rId26" Type="http://schemas.openxmlformats.org/officeDocument/2006/relationships/image" Target="media/image10.emf"/><Relationship Id="rId39" Type="http://schemas.openxmlformats.org/officeDocument/2006/relationships/image" Target="media/image17.png"/><Relationship Id="rId21" Type="http://schemas.openxmlformats.org/officeDocument/2006/relationships/package" Target="embeddings/Microsoft_Excel_Worksheet2.xlsx"/><Relationship Id="rId34" Type="http://schemas.openxmlformats.org/officeDocument/2006/relationships/package" Target="embeddings/Microsoft_Excel_Worksheet9.xlsx"/><Relationship Id="rId42" Type="http://schemas.openxmlformats.org/officeDocument/2006/relationships/package" Target="embeddings/Microsoft_Excel_Worksheet11.xlsx"/><Relationship Id="rId47" Type="http://schemas.openxmlformats.org/officeDocument/2006/relationships/package" Target="embeddings/Microsoft_Excel_Worksheet13.xlsx"/><Relationship Id="rId50" Type="http://schemas.openxmlformats.org/officeDocument/2006/relationships/header" Target="header1.xml"/><Relationship Id="rId55" Type="http://schemas.openxmlformats.org/officeDocument/2006/relationships/image" Target="media/image25.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emf"/><Relationship Id="rId29" Type="http://schemas.openxmlformats.org/officeDocument/2006/relationships/image" Target="media/image11.emf"/><Relationship Id="rId11" Type="http://schemas.openxmlformats.org/officeDocument/2006/relationships/image" Target="media/image3.jpeg"/><Relationship Id="rId24" Type="http://schemas.openxmlformats.org/officeDocument/2006/relationships/image" Target="media/image9.emf"/><Relationship Id="rId32" Type="http://schemas.openxmlformats.org/officeDocument/2006/relationships/package" Target="embeddings/Microsoft_Excel_Worksheet8.xlsx"/><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chart" Target="charts/chart3.xml"/><Relationship Id="rId53" Type="http://schemas.openxmlformats.org/officeDocument/2006/relationships/image" Target="media/image24.emf"/><Relationship Id="rId58" Type="http://schemas.openxmlformats.org/officeDocument/2006/relationships/package" Target="embeddings/Microsoft_Excel_Worksheet17.xlsx"/><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package" Target="embeddings/Microsoft_Excel_Worksheet1.xlsx"/><Relationship Id="rId14" Type="http://schemas.openxmlformats.org/officeDocument/2006/relationships/image" Target="media/image4.png"/><Relationship Id="rId22" Type="http://schemas.openxmlformats.org/officeDocument/2006/relationships/image" Target="media/image8.emf"/><Relationship Id="rId27" Type="http://schemas.openxmlformats.org/officeDocument/2006/relationships/package" Target="embeddings/Microsoft_Excel_Worksheet5.xlsx"/><Relationship Id="rId30" Type="http://schemas.openxmlformats.org/officeDocument/2006/relationships/package" Target="embeddings/Microsoft_Excel_Worksheet7.xlsx"/><Relationship Id="rId35" Type="http://schemas.openxmlformats.org/officeDocument/2006/relationships/image" Target="media/image14.emf"/><Relationship Id="rId43" Type="http://schemas.openxmlformats.org/officeDocument/2006/relationships/image" Target="media/image20.emf"/><Relationship Id="rId48" Type="http://schemas.openxmlformats.org/officeDocument/2006/relationships/image" Target="media/image22.emf"/><Relationship Id="rId56" Type="http://schemas.openxmlformats.org/officeDocument/2006/relationships/package" Target="embeddings/Microsoft_Excel_Worksheet16.xlsx"/><Relationship Id="rId8" Type="http://schemas.openxmlformats.org/officeDocument/2006/relationships/image" Target="media/image1.png"/><Relationship Id="rId51"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package" Target="embeddings/Microsoft_Excel_Worksheet.xlsx"/><Relationship Id="rId25" Type="http://schemas.openxmlformats.org/officeDocument/2006/relationships/package" Target="embeddings/Microsoft_Excel_Worksheet4.xlsx"/><Relationship Id="rId33" Type="http://schemas.openxmlformats.org/officeDocument/2006/relationships/image" Target="media/image13.emf"/><Relationship Id="rId38" Type="http://schemas.openxmlformats.org/officeDocument/2006/relationships/image" Target="media/image16.png"/><Relationship Id="rId46" Type="http://schemas.openxmlformats.org/officeDocument/2006/relationships/image" Target="media/image21.emf"/><Relationship Id="rId59" Type="http://schemas.openxmlformats.org/officeDocument/2006/relationships/image" Target="media/image27.emf"/><Relationship Id="rId20" Type="http://schemas.openxmlformats.org/officeDocument/2006/relationships/image" Target="media/image7.emf"/><Relationship Id="rId41" Type="http://schemas.openxmlformats.org/officeDocument/2006/relationships/image" Target="media/image19.emf"/><Relationship Id="rId54" Type="http://schemas.openxmlformats.org/officeDocument/2006/relationships/package" Target="embeddings/Microsoft_Excel_Worksheet15.xlsx"/><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1.xml"/><Relationship Id="rId23" Type="http://schemas.openxmlformats.org/officeDocument/2006/relationships/package" Target="embeddings/Microsoft_Excel_Worksheet3.xlsx"/><Relationship Id="rId28" Type="http://schemas.openxmlformats.org/officeDocument/2006/relationships/chart" Target="charts/chart2.xml"/><Relationship Id="rId36" Type="http://schemas.openxmlformats.org/officeDocument/2006/relationships/package" Target="embeddings/Microsoft_Excel_Worksheet10.xlsx"/><Relationship Id="rId49" Type="http://schemas.openxmlformats.org/officeDocument/2006/relationships/package" Target="embeddings/Microsoft_Excel_Worksheet14.xlsx"/><Relationship Id="rId57" Type="http://schemas.openxmlformats.org/officeDocument/2006/relationships/image" Target="media/image26.emf"/><Relationship Id="rId10" Type="http://schemas.openxmlformats.org/officeDocument/2006/relationships/image" Target="media/image3.png"/><Relationship Id="rId31" Type="http://schemas.openxmlformats.org/officeDocument/2006/relationships/image" Target="media/image12.emf"/><Relationship Id="rId44" Type="http://schemas.openxmlformats.org/officeDocument/2006/relationships/package" Target="embeddings/Microsoft_Excel_Worksheet12.xlsx"/><Relationship Id="rId52" Type="http://schemas.openxmlformats.org/officeDocument/2006/relationships/footer" Target="footer3.xml"/><Relationship Id="rId60" Type="http://schemas.openxmlformats.org/officeDocument/2006/relationships/package" Target="embeddings/Microsoft_Excel_Worksheet18.xlsx"/><Relationship Id="rId4" Type="http://schemas.openxmlformats.org/officeDocument/2006/relationships/settings" Target="settings.xml"/><Relationship Id="rId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3.jpeg"/></Relationships>
</file>

<file path=word/_rels/footer3.xml.rels><?xml version="1.0" encoding="UTF-8" standalone="yes"?>
<Relationships xmlns="http://schemas.openxmlformats.org/package/2006/relationships"><Relationship Id="rId1" Type="http://schemas.openxmlformats.org/officeDocument/2006/relationships/image" Target="media/image23.jpeg"/></Relationships>
</file>

<file path=word/charts/_rels/chart1.xml.rels><?xml version="1.0" encoding="UTF-8" standalone="yes"?>
<Relationships xmlns="http://schemas.openxmlformats.org/package/2006/relationships"><Relationship Id="rId3" Type="http://schemas.openxmlformats.org/officeDocument/2006/relationships/oleObject" Target="file:///C:\Users\diomel.garcia\Downloads\Teimpo%20Ponderado%20x%20Semana%20oct24-nov25.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diomel.garcia\Downloads\Data%20Analisis%202025%20DGE.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Hoja1!$C$5</c:f>
              <c:strCache>
                <c:ptCount val="1"/>
                <c:pt idx="0">
                  <c:v>Santo Domingo</c:v>
                </c:pt>
              </c:strCache>
            </c:strRef>
          </c:tx>
          <c:spPr>
            <a:ln w="31750" cap="rnd">
              <a:solidFill>
                <a:schemeClr val="accent1"/>
              </a:solidFill>
              <a:round/>
            </a:ln>
            <a:effectLst/>
          </c:spPr>
          <c:marker>
            <c:symbol val="none"/>
          </c:marker>
          <c:val>
            <c:numRef>
              <c:f>Hoja1!$C$12:$C$62</c:f>
            </c:numRef>
          </c:val>
          <c:smooth val="0"/>
          <c:extLst>
            <c:ext xmlns:c16="http://schemas.microsoft.com/office/drawing/2014/chart" uri="{C3380CC4-5D6E-409C-BE32-E72D297353CC}">
              <c16:uniqueId val="{00000000-A6A6-40C0-ADD1-4D7EE2DD6FB2}"/>
            </c:ext>
          </c:extLst>
        </c:ser>
        <c:ser>
          <c:idx val="1"/>
          <c:order val="1"/>
          <c:tx>
            <c:strRef>
              <c:f>Hoja1!$D$5</c:f>
              <c:strCache>
                <c:ptCount val="1"/>
                <c:pt idx="0">
                  <c:v> Zona Metro</c:v>
                </c:pt>
              </c:strCache>
            </c:strRef>
          </c:tx>
          <c:spPr>
            <a:ln w="31750" cap="rnd">
              <a:solidFill>
                <a:srgbClr val="011C50"/>
              </a:solidFill>
              <a:round/>
            </a:ln>
            <a:effectLst/>
          </c:spPr>
          <c:marker>
            <c:symbol val="none"/>
          </c:marker>
          <c:val>
            <c:numRef>
              <c:f>Hoja1!$D$12:$D$62</c:f>
              <c:numCache>
                <c:formatCode>h:mm:ss</c:formatCode>
                <c:ptCount val="51"/>
                <c:pt idx="0">
                  <c:v>1.4456018518518519E-2</c:v>
                </c:pt>
                <c:pt idx="1">
                  <c:v>1.425925925925926E-2</c:v>
                </c:pt>
                <c:pt idx="2">
                  <c:v>1.4178240740740741E-2</c:v>
                </c:pt>
                <c:pt idx="3">
                  <c:v>1.4201388888888888E-2</c:v>
                </c:pt>
                <c:pt idx="4">
                  <c:v>1.5185185185185185E-2</c:v>
                </c:pt>
                <c:pt idx="5">
                  <c:v>1.474537037037037E-2</c:v>
                </c:pt>
                <c:pt idx="6">
                  <c:v>1.4756944444444444E-2</c:v>
                </c:pt>
                <c:pt idx="7">
                  <c:v>1.4849537037037038E-2</c:v>
                </c:pt>
                <c:pt idx="8">
                  <c:v>1.4513888888888889E-2</c:v>
                </c:pt>
                <c:pt idx="9">
                  <c:v>1.3784722222222223E-2</c:v>
                </c:pt>
                <c:pt idx="10">
                  <c:v>1.3668981481481482E-2</c:v>
                </c:pt>
                <c:pt idx="11">
                  <c:v>1.2997685185185185E-2</c:v>
                </c:pt>
                <c:pt idx="12">
                  <c:v>1.2881944444444444E-2</c:v>
                </c:pt>
                <c:pt idx="13">
                  <c:v>1.3148148148148148E-2</c:v>
                </c:pt>
                <c:pt idx="14">
                  <c:v>1.2673611111111111E-2</c:v>
                </c:pt>
                <c:pt idx="15">
                  <c:v>1.2812499999999999E-2</c:v>
                </c:pt>
                <c:pt idx="16">
                  <c:v>1.2175925925925925E-2</c:v>
                </c:pt>
                <c:pt idx="17">
                  <c:v>1.1712962962962963E-2</c:v>
                </c:pt>
                <c:pt idx="18">
                  <c:v>1.1770833333333333E-2</c:v>
                </c:pt>
                <c:pt idx="19">
                  <c:v>1.2129629629629629E-2</c:v>
                </c:pt>
                <c:pt idx="20">
                  <c:v>1.2326388888888888E-2</c:v>
                </c:pt>
                <c:pt idx="21">
                  <c:v>1.2812499999999999E-2</c:v>
                </c:pt>
                <c:pt idx="22">
                  <c:v>1.2233796296296296E-2</c:v>
                </c:pt>
                <c:pt idx="23">
                  <c:v>1.2094907407407407E-2</c:v>
                </c:pt>
                <c:pt idx="24">
                  <c:v>1.1990740740740741E-2</c:v>
                </c:pt>
                <c:pt idx="25">
                  <c:v>1.1574074074074073E-2</c:v>
                </c:pt>
                <c:pt idx="26">
                  <c:v>1.1574074074074073E-2</c:v>
                </c:pt>
                <c:pt idx="27">
                  <c:v>1.1574074074074073E-2</c:v>
                </c:pt>
                <c:pt idx="28">
                  <c:v>1.1724537037037037E-2</c:v>
                </c:pt>
                <c:pt idx="29">
                  <c:v>1.1354166666666667E-2</c:v>
                </c:pt>
                <c:pt idx="30">
                  <c:v>1.1516203703703704E-2</c:v>
                </c:pt>
                <c:pt idx="31">
                  <c:v>1.1967592592592592E-2</c:v>
                </c:pt>
                <c:pt idx="32">
                  <c:v>1.1840277777777778E-2</c:v>
                </c:pt>
                <c:pt idx="33">
                  <c:v>1.1851851851851851E-2</c:v>
                </c:pt>
                <c:pt idx="34">
                  <c:v>1.2013888888888888E-2</c:v>
                </c:pt>
                <c:pt idx="35">
                  <c:v>1.2210648148148148E-2</c:v>
                </c:pt>
                <c:pt idx="36">
                  <c:v>1.2534722222222221E-2</c:v>
                </c:pt>
                <c:pt idx="37">
                  <c:v>1.3252314814814814E-2</c:v>
                </c:pt>
                <c:pt idx="38">
                  <c:v>1.2604166666666666E-2</c:v>
                </c:pt>
                <c:pt idx="39">
                  <c:v>1.2280092592592592E-2</c:v>
                </c:pt>
                <c:pt idx="40">
                  <c:v>1.2581018518518519E-2</c:v>
                </c:pt>
                <c:pt idx="41">
                  <c:v>1.2337962962962964E-2</c:v>
                </c:pt>
                <c:pt idx="42">
                  <c:v>1.1944444444444445E-2</c:v>
                </c:pt>
                <c:pt idx="43">
                  <c:v>1.2407407407407407E-2</c:v>
                </c:pt>
                <c:pt idx="44">
                  <c:v>1.2673611111111111E-2</c:v>
                </c:pt>
                <c:pt idx="45">
                  <c:v>1.2627314814814815E-2</c:v>
                </c:pt>
                <c:pt idx="46">
                  <c:v>1.2476851851851852E-2</c:v>
                </c:pt>
                <c:pt idx="47">
                  <c:v>1.1921296296296296E-2</c:v>
                </c:pt>
                <c:pt idx="48">
                  <c:v>1.2060185185185186E-2</c:v>
                </c:pt>
                <c:pt idx="49">
                  <c:v>1.2106481481481482E-2</c:v>
                </c:pt>
                <c:pt idx="50">
                  <c:v>1.2037037037037037E-2</c:v>
                </c:pt>
              </c:numCache>
            </c:numRef>
          </c:val>
          <c:smooth val="0"/>
          <c:extLst>
            <c:ext xmlns:c16="http://schemas.microsoft.com/office/drawing/2014/chart" uri="{C3380CC4-5D6E-409C-BE32-E72D297353CC}">
              <c16:uniqueId val="{00000001-A6A6-40C0-ADD1-4D7EE2DD6FB2}"/>
            </c:ext>
          </c:extLst>
        </c:ser>
        <c:dLbls>
          <c:showLegendKey val="0"/>
          <c:showVal val="0"/>
          <c:showCatName val="0"/>
          <c:showSerName val="0"/>
          <c:showPercent val="0"/>
          <c:showBubbleSize val="0"/>
        </c:dLbls>
        <c:smooth val="0"/>
        <c:axId val="1580118511"/>
        <c:axId val="1580116111"/>
      </c:lineChart>
      <c:catAx>
        <c:axId val="1580118511"/>
        <c:scaling>
          <c:orientation val="minMax"/>
        </c:scaling>
        <c:delete val="1"/>
        <c:axPos val="b"/>
        <c:majorTickMark val="out"/>
        <c:minorTickMark val="none"/>
        <c:tickLblPos val="nextTo"/>
        <c:crossAx val="1580116111"/>
        <c:crosses val="autoZero"/>
        <c:auto val="1"/>
        <c:lblAlgn val="ctr"/>
        <c:lblOffset val="100"/>
        <c:noMultiLvlLbl val="0"/>
      </c:catAx>
      <c:valAx>
        <c:axId val="1580116111"/>
        <c:scaling>
          <c:orientation val="minMax"/>
          <c:min val="8.0000000000000019E-3"/>
        </c:scaling>
        <c:delete val="0"/>
        <c:axPos val="l"/>
        <c:majorGridlines>
          <c:spPr>
            <a:ln w="9525" cap="flat" cmpd="sng" algn="ctr">
              <a:solidFill>
                <a:schemeClr val="tx2">
                  <a:lumMod val="15000"/>
                  <a:lumOff val="85000"/>
                </a:schemeClr>
              </a:solidFill>
              <a:round/>
            </a:ln>
            <a:effectLst/>
          </c:spPr>
        </c:majorGridlines>
        <c:numFmt formatCode="h:mm:ss"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rgbClr val="767171"/>
                </a:solidFill>
                <a:latin typeface="+mn-lt"/>
                <a:ea typeface="+mn-ea"/>
                <a:cs typeface="+mn-cs"/>
              </a:defRPr>
            </a:pPr>
            <a:endParaRPr lang="en-US"/>
          </a:p>
        </c:txPr>
        <c:crossAx val="158011851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rgbClr val="767171"/>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rgbClr val="47A8EA"/>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rgbClr val="767171"/>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FINAN!$K$8:$K$10</c:f>
              <c:strCache>
                <c:ptCount val="3"/>
                <c:pt idx="0">
                  <c:v>MiPymes</c:v>
                </c:pt>
                <c:pt idx="1">
                  <c:v>MiPymes Mujer</c:v>
                </c:pt>
                <c:pt idx="2">
                  <c:v>No MiPymes</c:v>
                </c:pt>
              </c:strCache>
            </c:strRef>
          </c:cat>
          <c:val>
            <c:numRef>
              <c:f>FINAN!$L$8:$L$10</c:f>
              <c:numCache>
                <c:formatCode>#,##0.00</c:formatCode>
                <c:ptCount val="3"/>
                <c:pt idx="0">
                  <c:v>19.02</c:v>
                </c:pt>
                <c:pt idx="1">
                  <c:v>6.96</c:v>
                </c:pt>
                <c:pt idx="2">
                  <c:v>74.02</c:v>
                </c:pt>
              </c:numCache>
            </c:numRef>
          </c:val>
          <c:extLst>
            <c:ext xmlns:c16="http://schemas.microsoft.com/office/drawing/2014/chart" uri="{C3380CC4-5D6E-409C-BE32-E72D297353CC}">
              <c16:uniqueId val="{00000000-6CF5-408F-96FE-3B0AFF767B72}"/>
            </c:ext>
          </c:extLst>
        </c:ser>
        <c:dLbls>
          <c:dLblPos val="outEnd"/>
          <c:showLegendKey val="0"/>
          <c:showVal val="1"/>
          <c:showCatName val="0"/>
          <c:showSerName val="0"/>
          <c:showPercent val="0"/>
          <c:showBubbleSize val="0"/>
        </c:dLbls>
        <c:gapWidth val="219"/>
        <c:overlap val="-27"/>
        <c:axId val="1905515823"/>
        <c:axId val="1905517743"/>
      </c:barChart>
      <c:catAx>
        <c:axId val="19055158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rgbClr val="767171"/>
                </a:solidFill>
                <a:latin typeface="+mn-lt"/>
                <a:ea typeface="+mn-ea"/>
                <a:cs typeface="+mn-cs"/>
              </a:defRPr>
            </a:pPr>
            <a:endParaRPr lang="en-US"/>
          </a:p>
        </c:txPr>
        <c:crossAx val="1905517743"/>
        <c:crosses val="autoZero"/>
        <c:auto val="1"/>
        <c:lblAlgn val="ctr"/>
        <c:lblOffset val="100"/>
        <c:noMultiLvlLbl val="0"/>
      </c:catAx>
      <c:valAx>
        <c:axId val="190551774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5515823"/>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'Satisfacción '!$A$4</c:f>
              <c:strCache>
                <c:ptCount val="1"/>
                <c:pt idx="0">
                  <c:v>Enero</c:v>
                </c:pt>
              </c:strCache>
            </c:strRef>
          </c:tx>
          <c:spPr>
            <a:solidFill>
              <a:srgbClr val="011C50"/>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'!$B$4:$E$4</c:f>
              <c:numCache>
                <c:formatCode>0%</c:formatCode>
                <c:ptCount val="4"/>
                <c:pt idx="0">
                  <c:v>0.85</c:v>
                </c:pt>
                <c:pt idx="1">
                  <c:v>0.72</c:v>
                </c:pt>
                <c:pt idx="2">
                  <c:v>0.89</c:v>
                </c:pt>
                <c:pt idx="3">
                  <c:v>0.94</c:v>
                </c:pt>
              </c:numCache>
            </c:numRef>
          </c:val>
          <c:extLst>
            <c:ext xmlns:c16="http://schemas.microsoft.com/office/drawing/2014/chart" uri="{C3380CC4-5D6E-409C-BE32-E72D297353CC}">
              <c16:uniqueId val="{00000000-84DB-4B37-87D4-4460C6FD0D0C}"/>
            </c:ext>
          </c:extLst>
        </c:ser>
        <c:ser>
          <c:idx val="1"/>
          <c:order val="1"/>
          <c:tx>
            <c:strRef>
              <c:f>'Satisfacción '!$A$5</c:f>
              <c:strCache>
                <c:ptCount val="1"/>
                <c:pt idx="0">
                  <c:v>Febrero</c:v>
                </c:pt>
              </c:strCache>
            </c:strRef>
          </c:tx>
          <c:spPr>
            <a:solidFill>
              <a:srgbClr val="D9D9D9"/>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'!$B$5:$E$5</c:f>
              <c:numCache>
                <c:formatCode>0%</c:formatCode>
                <c:ptCount val="4"/>
                <c:pt idx="0">
                  <c:v>0.86</c:v>
                </c:pt>
                <c:pt idx="1">
                  <c:v>0.71</c:v>
                </c:pt>
                <c:pt idx="2">
                  <c:v>0.9</c:v>
                </c:pt>
                <c:pt idx="3">
                  <c:v>0.94</c:v>
                </c:pt>
              </c:numCache>
            </c:numRef>
          </c:val>
          <c:extLst>
            <c:ext xmlns:c16="http://schemas.microsoft.com/office/drawing/2014/chart" uri="{C3380CC4-5D6E-409C-BE32-E72D297353CC}">
              <c16:uniqueId val="{00000001-84DB-4B37-87D4-4460C6FD0D0C}"/>
            </c:ext>
          </c:extLst>
        </c:ser>
        <c:ser>
          <c:idx val="2"/>
          <c:order val="2"/>
          <c:tx>
            <c:strRef>
              <c:f>'Satisfacción '!$A$6</c:f>
              <c:strCache>
                <c:ptCount val="1"/>
                <c:pt idx="0">
                  <c:v>Marzo</c:v>
                </c:pt>
              </c:strCache>
            </c:strRef>
          </c:tx>
          <c:spPr>
            <a:solidFill>
              <a:srgbClr val="436EBE"/>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'!$B$6:$E$6</c:f>
              <c:numCache>
                <c:formatCode>0%</c:formatCode>
                <c:ptCount val="4"/>
                <c:pt idx="0">
                  <c:v>0.89</c:v>
                </c:pt>
                <c:pt idx="1">
                  <c:v>0.75</c:v>
                </c:pt>
                <c:pt idx="2">
                  <c:v>0.91</c:v>
                </c:pt>
                <c:pt idx="3">
                  <c:v>0.95</c:v>
                </c:pt>
              </c:numCache>
            </c:numRef>
          </c:val>
          <c:extLst>
            <c:ext xmlns:c16="http://schemas.microsoft.com/office/drawing/2014/chart" uri="{C3380CC4-5D6E-409C-BE32-E72D297353CC}">
              <c16:uniqueId val="{00000002-84DB-4B37-87D4-4460C6FD0D0C}"/>
            </c:ext>
          </c:extLst>
        </c:ser>
        <c:ser>
          <c:idx val="3"/>
          <c:order val="3"/>
          <c:tx>
            <c:strRef>
              <c:f>'Satisfacción '!$A$7</c:f>
              <c:strCache>
                <c:ptCount val="1"/>
                <c:pt idx="0">
                  <c:v>Abril</c:v>
                </c:pt>
              </c:strCache>
            </c:strRef>
          </c:tx>
          <c:spPr>
            <a:solidFill>
              <a:srgbClr val="00ADDD"/>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'!$B$7:$E$7</c:f>
              <c:numCache>
                <c:formatCode>0%</c:formatCode>
                <c:ptCount val="4"/>
                <c:pt idx="0">
                  <c:v>0.9</c:v>
                </c:pt>
                <c:pt idx="1">
                  <c:v>0.78</c:v>
                </c:pt>
                <c:pt idx="2">
                  <c:v>0.91</c:v>
                </c:pt>
                <c:pt idx="3">
                  <c:v>0.96</c:v>
                </c:pt>
              </c:numCache>
            </c:numRef>
          </c:val>
          <c:extLst>
            <c:ext xmlns:c16="http://schemas.microsoft.com/office/drawing/2014/chart" uri="{C3380CC4-5D6E-409C-BE32-E72D297353CC}">
              <c16:uniqueId val="{00000003-84DB-4B37-87D4-4460C6FD0D0C}"/>
            </c:ext>
          </c:extLst>
        </c:ser>
        <c:ser>
          <c:idx val="4"/>
          <c:order val="4"/>
          <c:tx>
            <c:strRef>
              <c:f>'Satisfacción '!$A$8</c:f>
              <c:strCache>
                <c:ptCount val="1"/>
                <c:pt idx="0">
                  <c:v>Mayo</c:v>
                </c:pt>
              </c:strCache>
            </c:strRef>
          </c:tx>
          <c:spPr>
            <a:solidFill>
              <a:srgbClr val="7D8589"/>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'!$B$8:$E$8</c:f>
              <c:numCache>
                <c:formatCode>0%</c:formatCode>
                <c:ptCount val="4"/>
                <c:pt idx="0">
                  <c:v>0.9</c:v>
                </c:pt>
                <c:pt idx="1">
                  <c:v>0.74</c:v>
                </c:pt>
                <c:pt idx="2">
                  <c:v>0.9</c:v>
                </c:pt>
                <c:pt idx="3">
                  <c:v>0.95</c:v>
                </c:pt>
              </c:numCache>
            </c:numRef>
          </c:val>
          <c:extLst>
            <c:ext xmlns:c16="http://schemas.microsoft.com/office/drawing/2014/chart" uri="{C3380CC4-5D6E-409C-BE32-E72D297353CC}">
              <c16:uniqueId val="{00000004-84DB-4B37-87D4-4460C6FD0D0C}"/>
            </c:ext>
          </c:extLst>
        </c:ser>
        <c:ser>
          <c:idx val="5"/>
          <c:order val="5"/>
          <c:tx>
            <c:strRef>
              <c:f>'Satisfacción '!$A$9</c:f>
              <c:strCache>
                <c:ptCount val="1"/>
                <c:pt idx="0">
                  <c:v>Junio</c:v>
                </c:pt>
              </c:strCache>
            </c:strRef>
          </c:tx>
          <c:spPr>
            <a:solidFill>
              <a:srgbClr val="142F62"/>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'!$B$9:$E$9</c:f>
              <c:numCache>
                <c:formatCode>0%</c:formatCode>
                <c:ptCount val="4"/>
                <c:pt idx="0">
                  <c:v>0.88</c:v>
                </c:pt>
                <c:pt idx="1">
                  <c:v>0.75</c:v>
                </c:pt>
                <c:pt idx="2">
                  <c:v>0.89</c:v>
                </c:pt>
                <c:pt idx="3">
                  <c:v>0.94</c:v>
                </c:pt>
              </c:numCache>
            </c:numRef>
          </c:val>
          <c:extLst>
            <c:ext xmlns:c16="http://schemas.microsoft.com/office/drawing/2014/chart" uri="{C3380CC4-5D6E-409C-BE32-E72D297353CC}">
              <c16:uniqueId val="{00000005-84DB-4B37-87D4-4460C6FD0D0C}"/>
            </c:ext>
          </c:extLst>
        </c:ser>
        <c:ser>
          <c:idx val="6"/>
          <c:order val="6"/>
          <c:tx>
            <c:strRef>
              <c:f>'Satisfacción '!$A$10</c:f>
              <c:strCache>
                <c:ptCount val="1"/>
                <c:pt idx="0">
                  <c:v>Julio</c:v>
                </c:pt>
              </c:strCache>
            </c:strRef>
          </c:tx>
          <c:spPr>
            <a:solidFill>
              <a:srgbClr val="47A8EA"/>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'!$B$10:$E$10</c:f>
              <c:numCache>
                <c:formatCode>0%</c:formatCode>
                <c:ptCount val="4"/>
                <c:pt idx="0">
                  <c:v>0.89</c:v>
                </c:pt>
                <c:pt idx="1">
                  <c:v>0.75</c:v>
                </c:pt>
                <c:pt idx="2">
                  <c:v>0.91</c:v>
                </c:pt>
                <c:pt idx="3">
                  <c:v>0.97</c:v>
                </c:pt>
              </c:numCache>
            </c:numRef>
          </c:val>
          <c:extLst>
            <c:ext xmlns:c16="http://schemas.microsoft.com/office/drawing/2014/chart" uri="{C3380CC4-5D6E-409C-BE32-E72D297353CC}">
              <c16:uniqueId val="{00000006-84DB-4B37-87D4-4460C6FD0D0C}"/>
            </c:ext>
          </c:extLst>
        </c:ser>
        <c:ser>
          <c:idx val="7"/>
          <c:order val="7"/>
          <c:tx>
            <c:strRef>
              <c:f>'Satisfacción '!$A$11</c:f>
              <c:strCache>
                <c:ptCount val="1"/>
                <c:pt idx="0">
                  <c:v>Agosto</c:v>
                </c:pt>
              </c:strCache>
            </c:strRef>
          </c:tx>
          <c:spPr>
            <a:solidFill>
              <a:srgbClr val="FFDE59"/>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'!$B$11:$E$11</c:f>
              <c:numCache>
                <c:formatCode>0%</c:formatCode>
                <c:ptCount val="4"/>
                <c:pt idx="0">
                  <c:v>0.9</c:v>
                </c:pt>
                <c:pt idx="1">
                  <c:v>0.75</c:v>
                </c:pt>
                <c:pt idx="2">
                  <c:v>0.92</c:v>
                </c:pt>
                <c:pt idx="3">
                  <c:v>0.95</c:v>
                </c:pt>
              </c:numCache>
            </c:numRef>
          </c:val>
          <c:extLst>
            <c:ext xmlns:c16="http://schemas.microsoft.com/office/drawing/2014/chart" uri="{C3380CC4-5D6E-409C-BE32-E72D297353CC}">
              <c16:uniqueId val="{00000007-84DB-4B37-87D4-4460C6FD0D0C}"/>
            </c:ext>
          </c:extLst>
        </c:ser>
        <c:ser>
          <c:idx val="8"/>
          <c:order val="8"/>
          <c:tx>
            <c:strRef>
              <c:f>'Satisfacción '!$A$12</c:f>
              <c:strCache>
                <c:ptCount val="1"/>
                <c:pt idx="0">
                  <c:v>Septiembre</c:v>
                </c:pt>
              </c:strCache>
            </c:strRef>
          </c:tx>
          <c:spPr>
            <a:solidFill>
              <a:srgbClr val="EE2A24"/>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'!$B$12:$E$12</c:f>
              <c:numCache>
                <c:formatCode>0%</c:formatCode>
                <c:ptCount val="4"/>
                <c:pt idx="0">
                  <c:v>0.89</c:v>
                </c:pt>
                <c:pt idx="1">
                  <c:v>0.73</c:v>
                </c:pt>
                <c:pt idx="2">
                  <c:v>0.93</c:v>
                </c:pt>
                <c:pt idx="3">
                  <c:v>0.96</c:v>
                </c:pt>
              </c:numCache>
            </c:numRef>
          </c:val>
          <c:extLst>
            <c:ext xmlns:c16="http://schemas.microsoft.com/office/drawing/2014/chart" uri="{C3380CC4-5D6E-409C-BE32-E72D297353CC}">
              <c16:uniqueId val="{00000008-84DB-4B37-87D4-4460C6FD0D0C}"/>
            </c:ext>
          </c:extLst>
        </c:ser>
        <c:ser>
          <c:idx val="9"/>
          <c:order val="9"/>
          <c:tx>
            <c:strRef>
              <c:f>'Satisfacción '!$A$13</c:f>
              <c:strCache>
                <c:ptCount val="1"/>
                <c:pt idx="0">
                  <c:v>Octubre</c:v>
                </c:pt>
              </c:strCache>
            </c:strRef>
          </c:tx>
          <c:spPr>
            <a:solidFill>
              <a:srgbClr val="00ADDD"/>
            </a:solidFill>
            <a:ln>
              <a:noFill/>
            </a:ln>
            <a:effectLst/>
          </c:spPr>
          <c:invertIfNegative val="0"/>
          <c:cat>
            <c:strRef>
              <c:f>'Satisfacción '!$B$3:$E$3</c:f>
              <c:strCache>
                <c:ptCount val="4"/>
                <c:pt idx="0">
                  <c:v>Satisfacción Global</c:v>
                </c:pt>
                <c:pt idx="1">
                  <c:v>Velocidad Respuesta</c:v>
                </c:pt>
                <c:pt idx="2">
                  <c:v>Conoc. Respuesta</c:v>
                </c:pt>
                <c:pt idx="3">
                  <c:v>Trato Respuesta</c:v>
                </c:pt>
              </c:strCache>
            </c:strRef>
          </c:cat>
          <c:val>
            <c:numRef>
              <c:f>'Satisfacción '!$B$13:$E$13</c:f>
              <c:numCache>
                <c:formatCode>0%</c:formatCode>
                <c:ptCount val="4"/>
                <c:pt idx="0">
                  <c:v>0.9</c:v>
                </c:pt>
                <c:pt idx="1">
                  <c:v>0.76</c:v>
                </c:pt>
                <c:pt idx="2">
                  <c:v>0.91</c:v>
                </c:pt>
                <c:pt idx="3">
                  <c:v>0.96</c:v>
                </c:pt>
              </c:numCache>
            </c:numRef>
          </c:val>
          <c:extLst>
            <c:ext xmlns:c16="http://schemas.microsoft.com/office/drawing/2014/chart" uri="{C3380CC4-5D6E-409C-BE32-E72D297353CC}">
              <c16:uniqueId val="{00000009-84DB-4B37-87D4-4460C6FD0D0C}"/>
            </c:ext>
          </c:extLst>
        </c:ser>
        <c:dLbls>
          <c:showLegendKey val="0"/>
          <c:showVal val="0"/>
          <c:showCatName val="0"/>
          <c:showSerName val="0"/>
          <c:showPercent val="0"/>
          <c:showBubbleSize val="0"/>
        </c:dLbls>
        <c:gapWidth val="219"/>
        <c:overlap val="-27"/>
        <c:axId val="1388988112"/>
        <c:axId val="1388988592"/>
      </c:barChart>
      <c:catAx>
        <c:axId val="1388988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388988592"/>
        <c:crosses val="autoZero"/>
        <c:auto val="1"/>
        <c:lblAlgn val="ctr"/>
        <c:lblOffset val="100"/>
        <c:noMultiLvlLbl val="0"/>
      </c:catAx>
      <c:valAx>
        <c:axId val="1388988592"/>
        <c:scaling>
          <c:orientation val="minMax"/>
          <c:max val="1"/>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1388988112"/>
        <c:crosses val="autoZero"/>
        <c:crossBetween val="between"/>
      </c:valAx>
      <c:dTable>
        <c:showHorzBorder val="1"/>
        <c:showVertBorder val="1"/>
        <c:showOutline val="1"/>
        <c:showKeys val="0"/>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0.03994</cdr:x>
      <cdr:y>0.84588</cdr:y>
    </cdr:from>
    <cdr:to>
      <cdr:x>0.21247</cdr:x>
      <cdr:y>0.97728</cdr:y>
    </cdr:to>
    <cdr:sp macro="" textlink="">
      <cdr:nvSpPr>
        <cdr:cNvPr id="2" name="Rectángulo 1">
          <a:extLst xmlns:a="http://schemas.openxmlformats.org/drawingml/2006/main">
            <a:ext uri="{FF2B5EF4-FFF2-40B4-BE49-F238E27FC236}">
              <a16:creationId xmlns:a16="http://schemas.microsoft.com/office/drawing/2014/main" id="{27B7D5F0-4296-C447-37D2-123623B8BFF6}"/>
            </a:ext>
          </a:extLst>
        </cdr:cNvPr>
        <cdr:cNvSpPr/>
      </cdr:nvSpPr>
      <cdr:spPr>
        <a:xfrm xmlns:a="http://schemas.openxmlformats.org/drawingml/2006/main">
          <a:off x="200842" y="1962150"/>
          <a:ext cx="867688" cy="304799"/>
        </a:xfrm>
        <a:prstGeom xmlns:a="http://schemas.openxmlformats.org/drawingml/2006/main" prst="rect">
          <a:avLst/>
        </a:prstGeom>
        <a:ln xmlns:a="http://schemas.openxmlformats.org/drawingml/2006/main">
          <a:noFill/>
        </a:ln>
      </cdr:spPr>
      <cdr:style>
        <a:lnRef xmlns:a="http://schemas.openxmlformats.org/drawingml/2006/main" idx="2">
          <a:schemeClr val="dk1"/>
        </a:lnRef>
        <a:fillRef xmlns:a="http://schemas.openxmlformats.org/drawingml/2006/main" idx="1">
          <a:schemeClr val="lt1"/>
        </a:fillRef>
        <a:effectRef xmlns:a="http://schemas.openxmlformats.org/drawingml/2006/main" idx="0">
          <a:schemeClr val="dk1"/>
        </a:effectRef>
        <a:fontRef xmlns:a="http://schemas.openxmlformats.org/drawingml/2006/main" idx="minor">
          <a:schemeClr val="dk1"/>
        </a:fontRef>
      </cdr:style>
      <cdr:txBody>
        <a:bodyPr xmlns:a="http://schemas.openxmlformats.org/drawingml/2006/main" vertOverflow="clip"/>
        <a:lstStyle xmlns:a="http://schemas.openxmlformats.org/drawingml/2006/main"/>
        <a:p xmlns:a="http://schemas.openxmlformats.org/drawingml/2006/main">
          <a:pPr algn="ctr"/>
          <a:r>
            <a:rPr lang="en-US" sz="900" kern="1200">
              <a:solidFill>
                <a:srgbClr val="767171"/>
              </a:solidFill>
              <a:latin typeface="Times New Roman" panose="02020603050405020304" pitchFamily="18" charset="0"/>
              <a:cs typeface="Times New Roman" panose="02020603050405020304" pitchFamily="18" charset="0"/>
            </a:rPr>
            <a:t>Dic</a:t>
          </a:r>
          <a:r>
            <a:rPr lang="en-US" sz="900" kern="1200" baseline="0">
              <a:solidFill>
                <a:srgbClr val="767171"/>
              </a:solidFill>
              <a:latin typeface="Times New Roman" panose="02020603050405020304" pitchFamily="18" charset="0"/>
              <a:cs typeface="Times New Roman" panose="02020603050405020304" pitchFamily="18" charset="0"/>
            </a:rPr>
            <a:t> </a:t>
          </a:r>
          <a:r>
            <a:rPr lang="en-US" sz="900" kern="1200">
              <a:solidFill>
                <a:srgbClr val="767171"/>
              </a:solidFill>
              <a:latin typeface="Times New Roman" panose="02020603050405020304" pitchFamily="18" charset="0"/>
              <a:cs typeface="Times New Roman" panose="02020603050405020304" pitchFamily="18" charset="0"/>
            </a:rPr>
            <a:t>2024</a:t>
          </a:r>
        </a:p>
      </cdr:txBody>
    </cdr:sp>
  </cdr:relSizeAnchor>
  <cdr:relSizeAnchor xmlns:cdr="http://schemas.openxmlformats.org/drawingml/2006/chartDrawing">
    <cdr:from>
      <cdr:x>0.85038</cdr:x>
      <cdr:y>0.83356</cdr:y>
    </cdr:from>
    <cdr:to>
      <cdr:x>0.99242</cdr:x>
      <cdr:y>0.9343</cdr:y>
    </cdr:to>
    <cdr:sp macro="" textlink="">
      <cdr:nvSpPr>
        <cdr:cNvPr id="3" name="Rectángulo 2">
          <a:extLst xmlns:a="http://schemas.openxmlformats.org/drawingml/2006/main">
            <a:ext uri="{FF2B5EF4-FFF2-40B4-BE49-F238E27FC236}">
              <a16:creationId xmlns:a16="http://schemas.microsoft.com/office/drawing/2014/main" id="{4E18F612-806F-E1F2-73AF-9C8AA52A8C2F}"/>
            </a:ext>
          </a:extLst>
        </cdr:cNvPr>
        <cdr:cNvSpPr/>
      </cdr:nvSpPr>
      <cdr:spPr>
        <a:xfrm xmlns:a="http://schemas.openxmlformats.org/drawingml/2006/main">
          <a:off x="4276725" y="1933575"/>
          <a:ext cx="714375" cy="233680"/>
        </a:xfrm>
        <a:prstGeom xmlns:a="http://schemas.openxmlformats.org/drawingml/2006/main" prst="rect">
          <a:avLst/>
        </a:prstGeom>
        <a:ln xmlns:a="http://schemas.openxmlformats.org/drawingml/2006/main">
          <a:noFill/>
        </a:ln>
      </cdr:spPr>
      <cdr:style>
        <a:lnRef xmlns:a="http://schemas.openxmlformats.org/drawingml/2006/main" idx="2">
          <a:schemeClr val="dk1"/>
        </a:lnRef>
        <a:fillRef xmlns:a="http://schemas.openxmlformats.org/drawingml/2006/main" idx="1">
          <a:schemeClr val="lt1"/>
        </a:fillRef>
        <a:effectRef xmlns:a="http://schemas.openxmlformats.org/drawingml/2006/main" idx="0">
          <a:schemeClr val="dk1"/>
        </a:effectRef>
        <a:fontRef xmlns:a="http://schemas.openxmlformats.org/drawingml/2006/main" idx="minor">
          <a:schemeClr val="dk1"/>
        </a:fontRef>
      </cdr:style>
      <cdr:txBody>
        <a:bodyPr xmlns:a="http://schemas.openxmlformats.org/drawingml/2006/main"/>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ctr"/>
          <a:r>
            <a:rPr lang="en-US" sz="900">
              <a:solidFill>
                <a:srgbClr val="767171"/>
              </a:solidFill>
              <a:effectLst/>
              <a:latin typeface="Times New Roman" panose="02020603050405020304" pitchFamily="18" charset="0"/>
              <a:ea typeface="+mn-ea"/>
              <a:cs typeface="Times New Roman" panose="02020603050405020304" pitchFamily="18" charset="0"/>
            </a:rPr>
            <a:t>Dic</a:t>
          </a:r>
          <a:r>
            <a:rPr lang="en-US" sz="900" kern="1200">
              <a:solidFill>
                <a:srgbClr val="767171"/>
              </a:solidFill>
              <a:latin typeface="Times New Roman" panose="02020603050405020304" pitchFamily="18" charset="0"/>
              <a:cs typeface="Times New Roman" panose="02020603050405020304" pitchFamily="18" charset="0"/>
            </a:rPr>
            <a:t> 2025</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61DDA-7C2C-4995-BC3A-1173B36D9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66</Pages>
  <Words>11496</Words>
  <Characters>65530</Characters>
  <Application>Microsoft Office Word</Application>
  <DocSecurity>0</DocSecurity>
  <Lines>546</Lines>
  <Paragraphs>153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Peña</dc:creator>
  <cp:keywords/>
  <dc:description/>
  <cp:lastModifiedBy>Diomel Garcia</cp:lastModifiedBy>
  <cp:revision>2</cp:revision>
  <cp:lastPrinted>2025-12-17T15:18:00Z</cp:lastPrinted>
  <dcterms:created xsi:type="dcterms:W3CDTF">2026-02-09T16:13:00Z</dcterms:created>
  <dcterms:modified xsi:type="dcterms:W3CDTF">2026-02-09T16:13:00Z</dcterms:modified>
</cp:coreProperties>
</file>